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F40A" w14:textId="77777777" w:rsidR="0089622E" w:rsidRPr="00673DB7" w:rsidRDefault="0089622E" w:rsidP="0089622E">
      <w:pPr>
        <w:pStyle w:val="Default"/>
        <w:jc w:val="both"/>
        <w:rPr>
          <w:rFonts w:ascii="Calibri" w:hAnsi="Calibri" w:cs="Calibri"/>
          <w:bCs/>
        </w:rPr>
      </w:pPr>
      <w:r w:rsidRPr="00673DB7">
        <w:rPr>
          <w:rFonts w:ascii="Calibri" w:hAnsi="Calibri" w:cs="Calibri"/>
          <w:sz w:val="28"/>
          <w:szCs w:val="28"/>
        </w:rPr>
        <w:t>4</w:t>
      </w:r>
      <w:r w:rsidRPr="00673DB7">
        <w:rPr>
          <w:rFonts w:ascii="Calibri" w:hAnsi="Calibri" w:cs="Calibri"/>
          <w:sz w:val="22"/>
          <w:szCs w:val="22"/>
        </w:rPr>
        <w:t xml:space="preserve"> </w:t>
      </w:r>
      <w:r w:rsidRPr="00673DB7">
        <w:rPr>
          <w:rFonts w:ascii="Calibri" w:hAnsi="Calibri" w:cs="Calibri"/>
          <w:bCs/>
          <w:sz w:val="28"/>
          <w:szCs w:val="28"/>
        </w:rPr>
        <w:t xml:space="preserve">Téma – Politika řízení změn v podnikové praxi, dopad na myšlení a chování manažerů, institucionální zázemí pro podnikové změny. </w:t>
      </w:r>
    </w:p>
    <w:p w14:paraId="5488E5F2" w14:textId="77777777" w:rsidR="0089622E" w:rsidRPr="00673DB7" w:rsidRDefault="0089622E" w:rsidP="0089622E">
      <w:pPr>
        <w:pStyle w:val="Default"/>
        <w:rPr>
          <w:rFonts w:ascii="Calibri" w:hAnsi="Calibri" w:cs="Calibri"/>
        </w:rPr>
      </w:pPr>
    </w:p>
    <w:p w14:paraId="22EA453D" w14:textId="77777777" w:rsidR="0089622E" w:rsidRPr="00673DB7" w:rsidRDefault="0089622E" w:rsidP="0089622E">
      <w:pPr>
        <w:pStyle w:val="Default"/>
        <w:numPr>
          <w:ilvl w:val="0"/>
          <w:numId w:val="44"/>
        </w:numPr>
        <w:ind w:left="714" w:hanging="357"/>
        <w:rPr>
          <w:rFonts w:ascii="Calibri" w:hAnsi="Calibri" w:cs="Calibri"/>
          <w:b/>
          <w:sz w:val="22"/>
          <w:szCs w:val="22"/>
        </w:rPr>
      </w:pPr>
      <w:r w:rsidRPr="00673DB7">
        <w:rPr>
          <w:rFonts w:ascii="Calibri" w:hAnsi="Calibri" w:cs="Calibri"/>
          <w:b/>
          <w:sz w:val="22"/>
          <w:szCs w:val="22"/>
        </w:rPr>
        <w:t>Politika změn a teoretický základ</w:t>
      </w:r>
    </w:p>
    <w:p w14:paraId="106F0436" w14:textId="77777777" w:rsidR="0089622E" w:rsidRPr="00673DB7" w:rsidRDefault="0089622E" w:rsidP="0089622E">
      <w:pPr>
        <w:pStyle w:val="Default"/>
        <w:rPr>
          <w:rFonts w:ascii="Calibri" w:hAnsi="Calibri" w:cs="Calibri"/>
          <w:sz w:val="22"/>
          <w:szCs w:val="22"/>
        </w:rPr>
      </w:pPr>
    </w:p>
    <w:p w14:paraId="0E01574C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>Základním politickým krédem při návrhu i realizaci podnikové změny je Holistický přístup. Znamená celostní pohled na systém, v našem případě podnik. Vlastnosti, procesy ani chování systému (podniku) nelze určit jen pomocí vlastností jeho částí (útvarů, oddělení), ale celek (podnik) ovlivňuje podobu a fungování svých částí.</w:t>
      </w:r>
    </w:p>
    <w:p w14:paraId="647EC39E" w14:textId="77777777" w:rsidR="0089622E" w:rsidRPr="00673DB7" w:rsidRDefault="0089622E" w:rsidP="0089622E">
      <w:pPr>
        <w:pStyle w:val="Odstavecseseznamem"/>
        <w:spacing w:after="0" w:line="276" w:lineRule="auto"/>
        <w:ind w:left="0"/>
        <w:jc w:val="both"/>
        <w:rPr>
          <w:rFonts w:cs="Calibri"/>
        </w:rPr>
      </w:pPr>
      <w:r w:rsidRPr="00673DB7">
        <w:rPr>
          <w:rFonts w:eastAsia="Times New Roman" w:cs="Calibri"/>
          <w:lang w:eastAsia="cs-CZ"/>
        </w:rPr>
        <w:t>Pro řízení procesu změn z toho vyplývá, že při vlastním návrhu, projekci i realizaci změn musíme zohlednit jak organizační útvary podniku, tak podnik jako celek. Zde platí princip emergence</w:t>
      </w:r>
      <w:r w:rsidRPr="00673DB7">
        <w:rPr>
          <w:rFonts w:eastAsia="Times New Roman" w:cs="Calibri"/>
          <w:i/>
          <w:lang w:eastAsia="cs-CZ"/>
        </w:rPr>
        <w:t xml:space="preserve">, </w:t>
      </w:r>
      <w:r w:rsidRPr="00673DB7">
        <w:rPr>
          <w:rFonts w:eastAsia="Times New Roman" w:cs="Calibri"/>
          <w:lang w:eastAsia="cs-CZ"/>
        </w:rPr>
        <w:t xml:space="preserve">který vyjadřuje skutečnost, kdy procesy na úrovni podnikových subsystémů neodpovídají procesům v podniku jako celku. </w:t>
      </w:r>
    </w:p>
    <w:p w14:paraId="6E236966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lang w:eastAsia="cs-CZ"/>
        </w:rPr>
        <w:t xml:space="preserve">Smyslem každé změny v podniku je ve svém důsledku zkvalitnění a zintenzivnění procesu tvorby hodnoty v podniku. </w:t>
      </w:r>
    </w:p>
    <w:p w14:paraId="5F8F6890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eastAsia="Times New Roman" w:cs="Calibri"/>
          <w:lang w:eastAsia="cs-CZ"/>
        </w:rPr>
      </w:pPr>
    </w:p>
    <w:p w14:paraId="1BAB358E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  <w:b/>
          <w:i/>
          <w:color w:val="1C1D21"/>
        </w:rPr>
      </w:pPr>
      <w:r w:rsidRPr="00673DB7">
        <w:rPr>
          <w:rFonts w:eastAsia="Times New Roman" w:cs="Calibri"/>
          <w:lang w:eastAsia="cs-CZ"/>
        </w:rPr>
        <w:t xml:space="preserve">Teoretický základ řízení změn spočívá </w:t>
      </w:r>
      <w:r w:rsidRPr="00673DB7">
        <w:rPr>
          <w:rFonts w:cs="Calibri"/>
          <w:b/>
          <w:i/>
        </w:rPr>
        <w:t xml:space="preserve">v </w:t>
      </w:r>
      <w:r w:rsidRPr="00673DB7">
        <w:rPr>
          <w:rFonts w:cs="Calibri"/>
          <w:b/>
          <w:i/>
          <w:color w:val="1C1D21"/>
        </w:rPr>
        <w:t xml:space="preserve">integrované zkoumání hodnoty, vytváření hodnoty a poskytování (sdělování) hodnoty za účelem vybudování dlouhodobých vzájemně výhodných vztahů a společně sdílené prosperity. </w:t>
      </w:r>
    </w:p>
    <w:p w14:paraId="123248E1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  <w:b/>
          <w:color w:val="1C1D21"/>
        </w:rPr>
      </w:pPr>
    </w:p>
    <w:p w14:paraId="2E228D5F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  <w:b/>
          <w:color w:val="1C1D21"/>
        </w:rPr>
      </w:pPr>
      <w:r w:rsidRPr="00673DB7">
        <w:rPr>
          <w:rFonts w:cs="Calibri"/>
          <w:b/>
          <w:color w:val="1C1D21"/>
        </w:rPr>
        <w:t>Tento proces zahrnuje:</w:t>
      </w:r>
    </w:p>
    <w:p w14:paraId="7E9640BC" w14:textId="77777777" w:rsidR="0089622E" w:rsidRPr="00673DB7" w:rsidRDefault="0089622E" w:rsidP="0089622E">
      <w:pPr>
        <w:pStyle w:val="Odstavecseseznamem"/>
        <w:numPr>
          <w:ilvl w:val="0"/>
          <w:numId w:val="41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Style w:val="Siln"/>
          <w:rFonts w:cs="Calibri"/>
          <w:color w:val="1C1D21"/>
        </w:rPr>
        <w:t>Průzkum hodnoty</w:t>
      </w:r>
      <w:r w:rsidRPr="00673DB7">
        <w:rPr>
          <w:rFonts w:cs="Calibri"/>
          <w:b/>
        </w:rPr>
        <w:t xml:space="preserve"> –</w:t>
      </w:r>
      <w:r w:rsidRPr="00673DB7">
        <w:rPr>
          <w:rFonts w:cs="Calibri"/>
        </w:rPr>
        <w:t xml:space="preserve"> předpokládá kvalitní strategie podniku a zahrnuje prostor pro poznávání zákazníků, pro kompetence společnosti a prostor pro zdroje partnerů.</w:t>
      </w:r>
    </w:p>
    <w:p w14:paraId="653E7A95" w14:textId="77777777" w:rsidR="0089622E" w:rsidRPr="00673DB7" w:rsidRDefault="0089622E" w:rsidP="0089622E">
      <w:pPr>
        <w:pStyle w:val="Odstavecseseznamem"/>
        <w:numPr>
          <w:ilvl w:val="0"/>
          <w:numId w:val="41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Style w:val="Siln"/>
          <w:rFonts w:cs="Calibri"/>
          <w:color w:val="1C1D21"/>
        </w:rPr>
        <w:t>Vytváření hodnoty</w:t>
      </w:r>
      <w:r w:rsidRPr="00673DB7">
        <w:rPr>
          <w:rFonts w:cs="Calibri"/>
          <w:b/>
        </w:rPr>
        <w:t xml:space="preserve"> – </w:t>
      </w:r>
      <w:r w:rsidRPr="00673DB7">
        <w:rPr>
          <w:rFonts w:cs="Calibri"/>
        </w:rPr>
        <w:t>obsahuje identifikaci výhod pro zákazníky, využití klíčových předností svého odvětví, znalost zákazníka.</w:t>
      </w:r>
    </w:p>
    <w:p w14:paraId="28F1A3EF" w14:textId="77777777" w:rsidR="0089622E" w:rsidRPr="00673DB7" w:rsidRDefault="0089622E" w:rsidP="0089622E">
      <w:pPr>
        <w:pStyle w:val="Odstavecseseznamem"/>
        <w:numPr>
          <w:ilvl w:val="0"/>
          <w:numId w:val="41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Style w:val="Siln"/>
          <w:rFonts w:cs="Calibri"/>
          <w:color w:val="1C1D21"/>
        </w:rPr>
        <w:t>Poskytování hodnoty</w:t>
      </w:r>
      <w:r w:rsidRPr="00673DB7">
        <w:rPr>
          <w:rFonts w:cs="Calibri"/>
          <w:b/>
        </w:rPr>
        <w:t xml:space="preserve"> </w:t>
      </w:r>
      <w:r w:rsidRPr="00673DB7">
        <w:rPr>
          <w:rFonts w:cs="Calibri"/>
          <w:b/>
          <w:i/>
        </w:rPr>
        <w:t>–</w:t>
      </w:r>
      <w:r w:rsidRPr="00673DB7">
        <w:rPr>
          <w:rFonts w:cs="Calibri"/>
          <w:i/>
        </w:rPr>
        <w:t xml:space="preserve"> </w:t>
      </w:r>
      <w:r w:rsidRPr="00673DB7">
        <w:rPr>
          <w:rFonts w:cs="Calibri"/>
        </w:rPr>
        <w:t>podnik musí řídit vztahy se zákazníky (CRM), řídit vnitřní zdroje, řídit vztahy s obchodními partnery.</w:t>
      </w:r>
    </w:p>
    <w:p w14:paraId="592AE0B0" w14:textId="77777777" w:rsidR="0089622E" w:rsidRPr="00673DB7" w:rsidRDefault="0089622E" w:rsidP="0089622E">
      <w:pPr>
        <w:pStyle w:val="Normlnweb"/>
        <w:spacing w:before="0" w:after="0" w:line="276" w:lineRule="auto"/>
        <w:jc w:val="both"/>
        <w:rPr>
          <w:rStyle w:val="Zvraznn"/>
          <w:rFonts w:ascii="Calibri" w:hAnsi="Calibri" w:cs="Calibri"/>
          <w:i w:val="0"/>
          <w:iCs w:val="0"/>
          <w:sz w:val="22"/>
          <w:szCs w:val="22"/>
        </w:rPr>
      </w:pPr>
    </w:p>
    <w:p w14:paraId="5CFAAA1C" w14:textId="77777777" w:rsidR="0089622E" w:rsidRPr="00673DB7" w:rsidRDefault="0089622E" w:rsidP="0089622E">
      <w:pPr>
        <w:pStyle w:val="Default"/>
        <w:numPr>
          <w:ilvl w:val="0"/>
          <w:numId w:val="44"/>
        </w:numPr>
        <w:ind w:left="714" w:hanging="357"/>
        <w:rPr>
          <w:rFonts w:ascii="Calibri" w:hAnsi="Calibri" w:cs="Calibri"/>
          <w:b/>
          <w:sz w:val="22"/>
          <w:szCs w:val="22"/>
        </w:rPr>
      </w:pPr>
      <w:r w:rsidRPr="00673DB7">
        <w:rPr>
          <w:rStyle w:val="Zvraznn"/>
          <w:rFonts w:ascii="Calibri" w:hAnsi="Calibri" w:cs="Calibri"/>
          <w:b/>
          <w:i w:val="0"/>
          <w:sz w:val="22"/>
          <w:szCs w:val="22"/>
        </w:rPr>
        <w:t>Hlavní formy organizačních a provozních změn v podniku lze řadit:</w:t>
      </w:r>
    </w:p>
    <w:p w14:paraId="175CDCC6" w14:textId="77777777" w:rsidR="0089622E" w:rsidRPr="00673DB7" w:rsidRDefault="0089622E" w:rsidP="0089622E">
      <w:pPr>
        <w:pStyle w:val="Normln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08E6148" w14:textId="77777777" w:rsidR="0089622E" w:rsidRPr="00673DB7" w:rsidRDefault="0089622E" w:rsidP="0089622E">
      <w:pPr>
        <w:jc w:val="both"/>
        <w:rPr>
          <w:rFonts w:cs="Calibri"/>
        </w:rPr>
      </w:pPr>
      <w:r w:rsidRPr="00673DB7">
        <w:rPr>
          <w:rStyle w:val="Zvraznn"/>
          <w:rFonts w:cs="Calibri"/>
        </w:rPr>
        <w:t>Změny dílčího charakteru:</w:t>
      </w:r>
    </w:p>
    <w:p w14:paraId="513700B0" w14:textId="77777777" w:rsidR="0089622E" w:rsidRPr="00673DB7" w:rsidRDefault="0089622E" w:rsidP="0089622E">
      <w:pPr>
        <w:spacing w:after="0"/>
        <w:jc w:val="both"/>
        <w:rPr>
          <w:rFonts w:cs="Calibri"/>
          <w:vanish/>
          <w:color w:val="1C1D21"/>
        </w:rPr>
      </w:pPr>
    </w:p>
    <w:p w14:paraId="4622519B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proofErr w:type="spellStart"/>
      <w:r w:rsidRPr="00673DB7">
        <w:rPr>
          <w:rFonts w:cs="Calibri"/>
          <w:bCs/>
        </w:rPr>
        <w:t>Rightsizing</w:t>
      </w:r>
      <w:proofErr w:type="spellEnd"/>
      <w:r w:rsidRPr="00673DB7">
        <w:rPr>
          <w:rFonts w:cs="Calibri"/>
          <w:bCs/>
        </w:rPr>
        <w:t>,</w:t>
      </w:r>
    </w:p>
    <w:p w14:paraId="2DA16FD7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Cs/>
        </w:rPr>
        <w:t>Restrukturace,</w:t>
      </w:r>
    </w:p>
    <w:p w14:paraId="254C5E5A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Cs/>
        </w:rPr>
        <w:t>Sanace a revitalizace,</w:t>
      </w:r>
    </w:p>
    <w:p w14:paraId="7DCC74F7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Cs/>
        </w:rPr>
        <w:t>Automatizace,</w:t>
      </w:r>
      <w:r w:rsidRPr="00673DB7">
        <w:rPr>
          <w:rFonts w:cs="Calibri"/>
          <w:b/>
          <w:bCs/>
        </w:rPr>
        <w:t xml:space="preserve"> </w:t>
      </w:r>
    </w:p>
    <w:p w14:paraId="27B01281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Cs/>
        </w:rPr>
        <w:t xml:space="preserve">TQM,  </w:t>
      </w:r>
    </w:p>
    <w:p w14:paraId="28C2B28F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proofErr w:type="spellStart"/>
      <w:r w:rsidRPr="00673DB7">
        <w:rPr>
          <w:rFonts w:cs="Calibri"/>
        </w:rPr>
        <w:t>Metamorphing</w:t>
      </w:r>
      <w:proofErr w:type="spellEnd"/>
      <w:r w:rsidRPr="00673DB7">
        <w:rPr>
          <w:rFonts w:cs="Calibri"/>
        </w:rPr>
        <w:t>.</w:t>
      </w:r>
    </w:p>
    <w:p w14:paraId="5048EDAB" w14:textId="77777777" w:rsidR="0089622E" w:rsidRPr="00673DB7" w:rsidRDefault="0089622E" w:rsidP="0089622E">
      <w:pPr>
        <w:pStyle w:val="Odstavecseseznamem"/>
        <w:autoSpaceDE w:val="0"/>
        <w:spacing w:after="0" w:line="276" w:lineRule="auto"/>
        <w:jc w:val="both"/>
        <w:rPr>
          <w:rFonts w:cs="Calibri"/>
        </w:rPr>
      </w:pPr>
      <w:r w:rsidRPr="00673DB7">
        <w:rPr>
          <w:rFonts w:cs="Calibri"/>
        </w:rPr>
        <w:t xml:space="preserve"> </w:t>
      </w:r>
    </w:p>
    <w:p w14:paraId="18D28B2C" w14:textId="77777777" w:rsidR="0089622E" w:rsidRPr="00673DB7" w:rsidRDefault="0089622E" w:rsidP="0089622E">
      <w:pPr>
        <w:autoSpaceDE w:val="0"/>
        <w:spacing w:after="0"/>
        <w:jc w:val="both"/>
        <w:rPr>
          <w:rFonts w:cs="Calibri"/>
          <w:i/>
        </w:rPr>
      </w:pPr>
      <w:r w:rsidRPr="00673DB7">
        <w:rPr>
          <w:rFonts w:cs="Calibri"/>
          <w:i/>
        </w:rPr>
        <w:t>Změny zásadního charakteru:</w:t>
      </w:r>
    </w:p>
    <w:p w14:paraId="6031C67D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proofErr w:type="spellStart"/>
      <w:r w:rsidRPr="00673DB7">
        <w:rPr>
          <w:rFonts w:cs="Calibri"/>
          <w:bCs/>
        </w:rPr>
        <w:t>Reengineering</w:t>
      </w:r>
      <w:proofErr w:type="spellEnd"/>
      <w:r w:rsidRPr="00673DB7">
        <w:rPr>
          <w:rFonts w:cs="Calibri"/>
          <w:bCs/>
        </w:rPr>
        <w:t>,</w:t>
      </w:r>
    </w:p>
    <w:p w14:paraId="70988964" w14:textId="77777777" w:rsidR="0089622E" w:rsidRPr="00673DB7" w:rsidRDefault="0089622E" w:rsidP="0089622E">
      <w:pPr>
        <w:pStyle w:val="Odstavecseseznamem"/>
        <w:numPr>
          <w:ilvl w:val="0"/>
          <w:numId w:val="42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Cs/>
        </w:rPr>
        <w:t>Restrukturalizace.</w:t>
      </w:r>
    </w:p>
    <w:p w14:paraId="26DBB552" w14:textId="77777777" w:rsidR="0089622E" w:rsidRPr="00673DB7" w:rsidRDefault="0089622E" w:rsidP="0089622E">
      <w:pPr>
        <w:autoSpaceDE w:val="0"/>
        <w:spacing w:after="0"/>
        <w:jc w:val="both"/>
        <w:rPr>
          <w:rFonts w:cs="Calibri"/>
        </w:rPr>
      </w:pPr>
    </w:p>
    <w:p w14:paraId="55C7C528" w14:textId="77777777" w:rsidR="0089622E" w:rsidRPr="00673DB7" w:rsidRDefault="0089622E" w:rsidP="0089622E">
      <w:pPr>
        <w:pStyle w:val="Odstavecseseznamem"/>
        <w:suppressAutoHyphens/>
        <w:autoSpaceDE w:val="0"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</w:rPr>
      </w:pPr>
      <w:proofErr w:type="spellStart"/>
      <w:r w:rsidRPr="00673DB7">
        <w:rPr>
          <w:rFonts w:cs="Calibri"/>
          <w:i/>
        </w:rPr>
        <w:t>Metamorphing</w:t>
      </w:r>
      <w:proofErr w:type="spellEnd"/>
      <w:r w:rsidRPr="00673DB7">
        <w:rPr>
          <w:rFonts w:cs="Calibri"/>
        </w:rPr>
        <w:t xml:space="preserve"> jako nový pohled na svět práce; novou úlohu zde hrají informační technologie. U zaměstnanců není důležitá specializace, ale jejich univerzálnost.</w:t>
      </w:r>
    </w:p>
    <w:p w14:paraId="6BE37C7A" w14:textId="77777777" w:rsidR="0089622E" w:rsidRPr="00673DB7" w:rsidRDefault="0089622E" w:rsidP="0089622E">
      <w:pPr>
        <w:pStyle w:val="Odstavecseseznamem"/>
        <w:suppressAutoHyphens/>
        <w:autoSpaceDE w:val="0"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</w:rPr>
        <w:t xml:space="preserve"> </w:t>
      </w:r>
    </w:p>
    <w:p w14:paraId="112B3235" w14:textId="77777777" w:rsidR="0089622E" w:rsidRPr="00673DB7" w:rsidRDefault="0089622E" w:rsidP="0089622E">
      <w:pPr>
        <w:pStyle w:val="Odstavecseseznamem"/>
        <w:numPr>
          <w:ilvl w:val="0"/>
          <w:numId w:val="43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</w:rPr>
        <w:t>Univerzální pracovník by měl dostat odpovídající pravomoci a tomu se vedení firem často brání, jelikož má obavu, že bude kompetencí zneužito.</w:t>
      </w:r>
    </w:p>
    <w:p w14:paraId="4131E5A8" w14:textId="77777777" w:rsidR="0089622E" w:rsidRPr="00673DB7" w:rsidRDefault="0089622E" w:rsidP="0089622E">
      <w:pPr>
        <w:pStyle w:val="Odstavecseseznamem"/>
        <w:autoSpaceDE w:val="0"/>
        <w:spacing w:after="0" w:line="276" w:lineRule="auto"/>
        <w:jc w:val="both"/>
        <w:rPr>
          <w:rFonts w:cs="Calibri"/>
        </w:rPr>
      </w:pPr>
    </w:p>
    <w:p w14:paraId="32444608" w14:textId="77777777" w:rsidR="0089622E" w:rsidRPr="00673DB7" w:rsidRDefault="0089622E" w:rsidP="0089622E">
      <w:pPr>
        <w:pStyle w:val="Odstavecseseznamem"/>
        <w:numPr>
          <w:ilvl w:val="0"/>
          <w:numId w:val="43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proofErr w:type="spellStart"/>
      <w:r w:rsidRPr="00673DB7">
        <w:rPr>
          <w:rFonts w:cs="Calibri"/>
        </w:rPr>
        <w:t>Metamorphing</w:t>
      </w:r>
      <w:proofErr w:type="spellEnd"/>
      <w:r w:rsidRPr="00673DB7">
        <w:rPr>
          <w:rFonts w:cs="Calibri"/>
        </w:rPr>
        <w:t xml:space="preserve"> je metodou, která se dívá na potenciál lidí a jejich emoční inteligenci a také na to, jak lidé v podniku spolupracují a jaká je jejich práce v týmech. Základní podmínkou principu řízení změn je neomezený tok informací a neomezená komunikace. </w:t>
      </w:r>
    </w:p>
    <w:p w14:paraId="003F7F3F" w14:textId="77777777" w:rsidR="0089622E" w:rsidRPr="00673DB7" w:rsidRDefault="0089622E" w:rsidP="0089622E">
      <w:pPr>
        <w:pStyle w:val="Odstavecseseznamem"/>
        <w:spacing w:line="276" w:lineRule="auto"/>
        <w:jc w:val="both"/>
        <w:rPr>
          <w:rFonts w:cs="Calibri"/>
        </w:rPr>
      </w:pPr>
    </w:p>
    <w:p w14:paraId="1F013B4D" w14:textId="77777777" w:rsidR="0089622E" w:rsidRPr="00673DB7" w:rsidRDefault="0089622E" w:rsidP="0089622E">
      <w:pPr>
        <w:pStyle w:val="Odstavecseseznamem"/>
        <w:numPr>
          <w:ilvl w:val="0"/>
          <w:numId w:val="43"/>
        </w:numPr>
        <w:suppressAutoHyphens/>
        <w:autoSpaceDE w:val="0"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</w:rPr>
        <w:t>Veškeré změny musí být započaty od vrcholového vedení, zodpovědnost nesmí přenést na své podřízené. Pro realizaci a implementaci změn je nezbytné vytvořit pevný a jasný organizační rámec.</w:t>
      </w:r>
    </w:p>
    <w:p w14:paraId="0D4CC149" w14:textId="77777777" w:rsidR="0089622E" w:rsidRPr="00673DB7" w:rsidRDefault="0089622E" w:rsidP="0089622E">
      <w:pPr>
        <w:jc w:val="both"/>
        <w:rPr>
          <w:rFonts w:cs="Calibri"/>
          <w:b/>
        </w:rPr>
      </w:pPr>
    </w:p>
    <w:p w14:paraId="549FB3E2" w14:textId="77777777" w:rsidR="0089622E" w:rsidRPr="00673DB7" w:rsidRDefault="0089622E" w:rsidP="0089622E">
      <w:pPr>
        <w:pStyle w:val="Default"/>
        <w:numPr>
          <w:ilvl w:val="0"/>
          <w:numId w:val="44"/>
        </w:numPr>
        <w:ind w:left="714" w:hanging="357"/>
        <w:rPr>
          <w:rFonts w:ascii="Calibri" w:hAnsi="Calibri" w:cs="Calibri"/>
          <w:b/>
          <w:sz w:val="22"/>
          <w:szCs w:val="22"/>
        </w:rPr>
      </w:pPr>
      <w:r w:rsidRPr="00673DB7">
        <w:rPr>
          <w:rStyle w:val="Zvraznn"/>
          <w:rFonts w:ascii="Calibri" w:hAnsi="Calibri" w:cs="Calibri"/>
          <w:b/>
          <w:i w:val="0"/>
          <w:sz w:val="22"/>
          <w:szCs w:val="22"/>
        </w:rPr>
        <w:t xml:space="preserve">Institucionální zázemí, vědecko-technický park, podnikatelské klastry, podnikatelské inkubátory, agentury CzechInvest, Czech </w:t>
      </w:r>
      <w:proofErr w:type="spellStart"/>
      <w:r w:rsidRPr="00673DB7">
        <w:rPr>
          <w:rStyle w:val="Zvraznn"/>
          <w:rFonts w:ascii="Calibri" w:hAnsi="Calibri" w:cs="Calibri"/>
          <w:b/>
          <w:i w:val="0"/>
          <w:sz w:val="22"/>
          <w:szCs w:val="22"/>
        </w:rPr>
        <w:t>Trade</w:t>
      </w:r>
      <w:proofErr w:type="spellEnd"/>
      <w:r w:rsidRPr="00673DB7">
        <w:rPr>
          <w:rStyle w:val="Zvraznn"/>
          <w:rFonts w:ascii="Calibri" w:hAnsi="Calibri" w:cs="Calibri"/>
          <w:b/>
          <w:i w:val="0"/>
          <w:sz w:val="22"/>
          <w:szCs w:val="22"/>
        </w:rPr>
        <w:t>, OPPI, výzkumné organizace:</w:t>
      </w:r>
    </w:p>
    <w:p w14:paraId="0DC4BEF2" w14:textId="77777777" w:rsidR="0089622E" w:rsidRPr="00673DB7" w:rsidRDefault="0089622E" w:rsidP="0089622E">
      <w:pPr>
        <w:jc w:val="both"/>
        <w:rPr>
          <w:rFonts w:cs="Calibri"/>
          <w:bCs/>
        </w:rPr>
      </w:pPr>
    </w:p>
    <w:p w14:paraId="4FDDF539" w14:textId="77777777" w:rsidR="0089622E" w:rsidRPr="00673DB7" w:rsidRDefault="0089622E" w:rsidP="0089622E">
      <w:pPr>
        <w:jc w:val="both"/>
        <w:rPr>
          <w:rFonts w:cs="Calibri"/>
        </w:rPr>
      </w:pPr>
      <w:r w:rsidRPr="00673DB7">
        <w:rPr>
          <w:rFonts w:eastAsia="Times New Roman" w:cs="Calibri"/>
          <w:lang w:eastAsia="cs-CZ"/>
        </w:rPr>
        <w:t>Mimo vnitřní faktory, na kterých závisí úspěšnost procesu změn, jsou zde i faktory vnějšího okolí, mezi které bezesporu náleží i institucionální podpora. Jako příklad lze uvést:</w:t>
      </w:r>
    </w:p>
    <w:p w14:paraId="1115651A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eastAsia="Times New Roman" w:cs="Calibri"/>
          <w:b/>
          <w:lang w:eastAsia="cs-CZ"/>
        </w:rPr>
        <w:t>Vědecko-technologický park</w:t>
      </w:r>
      <w:r w:rsidRPr="00673DB7">
        <w:rPr>
          <w:rFonts w:eastAsia="Times New Roman" w:cs="Calibri"/>
          <w:i/>
          <w:lang w:eastAsia="cs-CZ"/>
        </w:rPr>
        <w:t xml:space="preserve"> </w:t>
      </w:r>
      <w:r w:rsidRPr="00673DB7">
        <w:rPr>
          <w:rFonts w:cs="Calibri"/>
          <w:iCs/>
        </w:rPr>
        <w:t>je organizace</w:t>
      </w:r>
      <w:r w:rsidRPr="00673DB7">
        <w:rPr>
          <w:rFonts w:eastAsia="Times New Roman" w:cs="Calibri"/>
          <w:lang w:eastAsia="cs-CZ"/>
        </w:rPr>
        <w:t xml:space="preserve"> </w:t>
      </w:r>
      <w:r w:rsidRPr="00673DB7">
        <w:rPr>
          <w:rFonts w:cs="Calibri"/>
          <w:iCs/>
        </w:rPr>
        <w:t>spravována odborníky, jejichž hlavním cílem je zvyšovat bohatství společnosti</w:t>
      </w:r>
      <w:r w:rsidRPr="00673DB7">
        <w:rPr>
          <w:rFonts w:eastAsia="Times New Roman" w:cs="Calibri"/>
          <w:lang w:eastAsia="cs-CZ"/>
        </w:rPr>
        <w:t xml:space="preserve"> </w:t>
      </w:r>
      <w:r w:rsidRPr="00673DB7">
        <w:rPr>
          <w:rFonts w:cs="Calibri"/>
          <w:iCs/>
        </w:rPr>
        <w:t>prostřednictvím podpory inovační kultury a konkurenceschopnosti zapojených podniků</w:t>
      </w:r>
      <w:r w:rsidRPr="00673DB7">
        <w:rPr>
          <w:rFonts w:eastAsia="Times New Roman" w:cs="Calibri"/>
          <w:lang w:eastAsia="cs-CZ"/>
        </w:rPr>
        <w:t xml:space="preserve"> </w:t>
      </w:r>
      <w:r w:rsidRPr="00673DB7">
        <w:rPr>
          <w:rFonts w:cs="Calibri"/>
          <w:iCs/>
        </w:rPr>
        <w:t>a špičkových institucí.</w:t>
      </w:r>
    </w:p>
    <w:p w14:paraId="7CD43E4E" w14:textId="77777777" w:rsidR="0089622E" w:rsidRPr="00673DB7" w:rsidRDefault="0089622E" w:rsidP="0089622E">
      <w:pPr>
        <w:pStyle w:val="Odstavecseseznamem"/>
        <w:spacing w:after="0" w:line="276" w:lineRule="auto"/>
        <w:jc w:val="both"/>
        <w:rPr>
          <w:rFonts w:cs="Calibri"/>
        </w:rPr>
      </w:pPr>
      <w:r w:rsidRPr="00673DB7">
        <w:rPr>
          <w:rFonts w:cs="Calibri"/>
          <w:iCs/>
        </w:rPr>
        <w:t xml:space="preserve"> </w:t>
      </w:r>
    </w:p>
    <w:p w14:paraId="75672873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673DB7">
        <w:rPr>
          <w:rStyle w:val="Siln"/>
          <w:rFonts w:cs="Calibri"/>
          <w:i/>
        </w:rPr>
        <w:t>Strategické aliance</w:t>
      </w:r>
      <w:r w:rsidRPr="00673DB7">
        <w:rPr>
          <w:rStyle w:val="Siln"/>
          <w:rFonts w:cs="Calibri"/>
        </w:rPr>
        <w:t xml:space="preserve"> </w:t>
      </w:r>
      <w:r w:rsidRPr="00673DB7">
        <w:rPr>
          <w:rStyle w:val="Siln"/>
          <w:rFonts w:cs="Calibri"/>
          <w:b w:val="0"/>
        </w:rPr>
        <w:t xml:space="preserve">je formálním vztahem mezi dvěma nebo více stranami, jehož cílem je dosažení společných cílů nebo zajištění kritické podnikatelské potřeby, přičemž partneři zůstávají nezávislými organizacemi. </w:t>
      </w:r>
      <w:r w:rsidRPr="00673DB7">
        <w:rPr>
          <w:rFonts w:eastAsia="Times New Roman" w:cs="Calibri"/>
          <w:lang w:eastAsia="cs-CZ"/>
        </w:rPr>
        <w:t xml:space="preserve">Důvodem k vytvoření strategické aliance může být např: </w:t>
      </w:r>
      <w:r w:rsidRPr="00673DB7">
        <w:rPr>
          <w:rFonts w:eastAsia="Times New Roman" w:cs="Calibri"/>
          <w:bCs/>
          <w:lang w:eastAsia="cs-CZ"/>
        </w:rPr>
        <w:t>silnější vyjednávací pozice</w:t>
      </w:r>
      <w:r w:rsidRPr="00673DB7">
        <w:rPr>
          <w:rFonts w:eastAsia="Times New Roman" w:cs="Calibri"/>
          <w:lang w:eastAsia="cs-CZ"/>
        </w:rPr>
        <w:t xml:space="preserve">, </w:t>
      </w:r>
      <w:r w:rsidRPr="00673DB7">
        <w:rPr>
          <w:rFonts w:eastAsia="Times New Roman" w:cs="Calibri"/>
          <w:bCs/>
          <w:lang w:eastAsia="cs-CZ"/>
        </w:rPr>
        <w:t>snazší expanze na zahraniční trhy</w:t>
      </w:r>
      <w:r w:rsidRPr="00673DB7">
        <w:rPr>
          <w:rFonts w:eastAsia="Times New Roman" w:cs="Calibri"/>
          <w:lang w:eastAsia="cs-CZ"/>
        </w:rPr>
        <w:t xml:space="preserve">, </w:t>
      </w:r>
      <w:r w:rsidRPr="00673DB7">
        <w:rPr>
          <w:rFonts w:eastAsia="Times New Roman" w:cs="Calibri"/>
          <w:bCs/>
          <w:lang w:eastAsia="cs-CZ"/>
        </w:rPr>
        <w:t>synergie</w:t>
      </w:r>
      <w:r w:rsidRPr="00673DB7">
        <w:rPr>
          <w:rFonts w:eastAsia="Times New Roman" w:cs="Calibri"/>
          <w:lang w:eastAsia="cs-CZ"/>
        </w:rPr>
        <w:t xml:space="preserve">, </w:t>
      </w:r>
      <w:r w:rsidRPr="00673DB7">
        <w:rPr>
          <w:rFonts w:eastAsia="Times New Roman" w:cs="Calibri"/>
          <w:bCs/>
          <w:lang w:eastAsia="cs-CZ"/>
        </w:rPr>
        <w:t>snížení nákladů</w:t>
      </w:r>
      <w:r w:rsidRPr="00673DB7">
        <w:rPr>
          <w:rFonts w:eastAsia="Times New Roman" w:cs="Calibri"/>
          <w:lang w:eastAsia="cs-CZ"/>
        </w:rPr>
        <w:t xml:space="preserve"> a výzkum a vývoj.</w:t>
      </w:r>
    </w:p>
    <w:p w14:paraId="1187B632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</w:rPr>
      </w:pPr>
    </w:p>
    <w:p w14:paraId="1E655DBB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/>
          <w:i/>
        </w:rPr>
        <w:t xml:space="preserve">Klastr </w:t>
      </w:r>
      <w:r w:rsidRPr="00673DB7">
        <w:rPr>
          <w:rFonts w:cs="Calibri"/>
        </w:rPr>
        <w:t xml:space="preserve">je soubor regionálně propojených podniků či podnikatelů a přidružených organizací, zejména z oblasti terciálního vzdělávání, jejichž odbornost zvyšuje vědecký potenciál a jejich konkurenceschopnost. Zúčastněné společnosti si jednak konkurují, ale současně řeší řadu společných problémů, kdy si mohou být </w:t>
      </w:r>
      <w:proofErr w:type="gramStart"/>
      <w:r w:rsidRPr="00673DB7">
        <w:rPr>
          <w:rFonts w:cs="Calibri"/>
        </w:rPr>
        <w:t>nápomocni</w:t>
      </w:r>
      <w:proofErr w:type="gramEnd"/>
      <w:r w:rsidRPr="00673DB7">
        <w:rPr>
          <w:rFonts w:cs="Calibri"/>
        </w:rPr>
        <w:t xml:space="preserve"> a tak zvýšit svoji konkurenceschopnost.</w:t>
      </w:r>
    </w:p>
    <w:p w14:paraId="31C97FF0" w14:textId="77777777" w:rsidR="0089622E" w:rsidRPr="00673DB7" w:rsidRDefault="0089622E" w:rsidP="0089622E">
      <w:pPr>
        <w:pStyle w:val="Odstavecseseznamem"/>
        <w:spacing w:line="276" w:lineRule="auto"/>
        <w:jc w:val="both"/>
        <w:rPr>
          <w:rFonts w:cs="Calibri"/>
          <w:i/>
        </w:rPr>
      </w:pPr>
    </w:p>
    <w:p w14:paraId="1A3DEC16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/>
          <w:bCs/>
          <w:i/>
        </w:rPr>
        <w:t>Podnikatelský inkubátor</w:t>
      </w:r>
      <w:r w:rsidRPr="00673DB7">
        <w:rPr>
          <w:rFonts w:cs="Calibri"/>
        </w:rPr>
        <w:t xml:space="preserve"> je buď soukromá obchodní společnost anebo instituce zřízená krajem či městem jako přidružené pracoviště vysokých škol a univerzit, která pomáhá novým a začínajícím společnostem (startupům) na začátku jejich podnikání.</w:t>
      </w:r>
    </w:p>
    <w:p w14:paraId="5496CFEC" w14:textId="77777777" w:rsidR="0089622E" w:rsidRPr="00673DB7" w:rsidRDefault="0089622E" w:rsidP="0089622E">
      <w:pPr>
        <w:pStyle w:val="Odstavecseseznamem"/>
        <w:spacing w:after="0" w:line="276" w:lineRule="auto"/>
        <w:jc w:val="both"/>
        <w:rPr>
          <w:rFonts w:cs="Calibri"/>
        </w:rPr>
      </w:pPr>
      <w:r w:rsidRPr="00673DB7">
        <w:rPr>
          <w:rFonts w:cs="Calibri"/>
        </w:rPr>
        <w:t xml:space="preserve"> </w:t>
      </w:r>
    </w:p>
    <w:p w14:paraId="38B378F6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/>
          <w:bCs/>
          <w:i/>
        </w:rPr>
        <w:t>CzechInvest</w:t>
      </w:r>
      <w:r w:rsidRPr="00673DB7">
        <w:rPr>
          <w:rFonts w:cs="Calibri"/>
        </w:rPr>
        <w:t xml:space="preserve"> je státní příspěvková organizace podřízená Ministerstvu průmyslu a obchodu ČR. Pomáhá každoročně zprostředkovat nové investiční projekty, díky kterým vznikají tisíce dlouhodobých pracovních míst.</w:t>
      </w:r>
    </w:p>
    <w:p w14:paraId="5834423E" w14:textId="77777777" w:rsidR="0089622E" w:rsidRPr="00673DB7" w:rsidRDefault="0089622E" w:rsidP="0089622E">
      <w:pPr>
        <w:pStyle w:val="Odstavecseseznamem"/>
        <w:spacing w:line="276" w:lineRule="auto"/>
        <w:jc w:val="both"/>
        <w:rPr>
          <w:rFonts w:cs="Calibri"/>
        </w:rPr>
      </w:pPr>
    </w:p>
    <w:p w14:paraId="67DE2C4C" w14:textId="77777777" w:rsidR="0089622E" w:rsidRPr="00673DB7" w:rsidRDefault="0089622E" w:rsidP="0089622E">
      <w:pPr>
        <w:pStyle w:val="Odstavecseseznamem"/>
        <w:spacing w:after="0" w:line="276" w:lineRule="auto"/>
        <w:jc w:val="both"/>
        <w:rPr>
          <w:rFonts w:cs="Calibri"/>
        </w:rPr>
      </w:pPr>
      <w:r w:rsidRPr="00673DB7">
        <w:rPr>
          <w:rFonts w:cs="Calibri"/>
        </w:rPr>
        <w:t xml:space="preserve"> </w:t>
      </w:r>
    </w:p>
    <w:p w14:paraId="51564F67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proofErr w:type="spellStart"/>
      <w:r w:rsidRPr="00673DB7">
        <w:rPr>
          <w:rFonts w:cs="Calibri"/>
          <w:b/>
          <w:bCs/>
          <w:i/>
        </w:rPr>
        <w:t>CzechTrade</w:t>
      </w:r>
      <w:proofErr w:type="spellEnd"/>
      <w:r w:rsidRPr="00673DB7">
        <w:rPr>
          <w:rFonts w:cs="Calibri"/>
          <w:bCs/>
        </w:rPr>
        <w:t xml:space="preserve"> </w:t>
      </w:r>
      <w:r w:rsidRPr="00673DB7">
        <w:rPr>
          <w:rFonts w:cs="Calibri"/>
        </w:rPr>
        <w:t>je příspěvková organizace spadající pod Ministerstvo průmyslu a obchodu.</w:t>
      </w:r>
      <w:r w:rsidRPr="00673DB7">
        <w:rPr>
          <w:rFonts w:cs="Calibri"/>
        </w:rPr>
        <w:br/>
        <w:t>Hlavním posláním agentury je podpora českých firem při podnikání na zahraničních trzích.</w:t>
      </w:r>
      <w:r w:rsidRPr="00673DB7">
        <w:rPr>
          <w:rFonts w:cs="Calibri"/>
          <w:bCs/>
        </w:rPr>
        <w:t xml:space="preserve"> </w:t>
      </w:r>
      <w:r w:rsidRPr="00673DB7">
        <w:rPr>
          <w:rFonts w:cs="Calibri"/>
        </w:rPr>
        <w:t>Agentura působí jako servisní služba pro české exportéry.</w:t>
      </w:r>
    </w:p>
    <w:p w14:paraId="7730FC8E" w14:textId="77777777" w:rsidR="0089622E" w:rsidRPr="00673DB7" w:rsidRDefault="0089622E" w:rsidP="0089622E">
      <w:pPr>
        <w:pStyle w:val="Odstavecseseznamem"/>
        <w:suppressAutoHyphens/>
        <w:autoSpaceDN w:val="0"/>
        <w:spacing w:after="0" w:line="276" w:lineRule="auto"/>
        <w:ind w:left="0"/>
        <w:contextualSpacing w:val="0"/>
        <w:jc w:val="both"/>
        <w:textAlignment w:val="baseline"/>
        <w:rPr>
          <w:rFonts w:cs="Calibri"/>
        </w:rPr>
      </w:pPr>
    </w:p>
    <w:p w14:paraId="2D55C122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cs="Calibri"/>
          <w:b/>
          <w:bCs/>
          <w:i/>
        </w:rPr>
        <w:t>Hospodářská komora České republiky</w:t>
      </w:r>
      <w:r w:rsidRPr="00673DB7">
        <w:rPr>
          <w:rFonts w:cs="Calibri"/>
        </w:rPr>
        <w:t xml:space="preserve"> je jediným zákonným zástupcem podnikatelů v zemi, má usilovat zejména o rozvoj podnikatelského prostřední v ČR i v Evropské unii.</w:t>
      </w:r>
    </w:p>
    <w:p w14:paraId="4DDEFE68" w14:textId="77777777" w:rsidR="0089622E" w:rsidRPr="00673DB7" w:rsidRDefault="0089622E" w:rsidP="0089622E">
      <w:pPr>
        <w:pStyle w:val="Odstavecseseznamem"/>
        <w:spacing w:after="0" w:line="276" w:lineRule="auto"/>
        <w:ind w:firstLine="48"/>
        <w:jc w:val="both"/>
        <w:rPr>
          <w:rFonts w:cs="Calibri"/>
        </w:rPr>
      </w:pPr>
    </w:p>
    <w:p w14:paraId="7ED2B970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Calibri"/>
        </w:rPr>
      </w:pPr>
      <w:r w:rsidRPr="00673DB7">
        <w:rPr>
          <w:rFonts w:eastAsia="Times New Roman" w:cs="Calibri"/>
          <w:b/>
          <w:i/>
          <w:lang w:eastAsia="cs-CZ"/>
        </w:rPr>
        <w:t>Asociace malých a středních podniků a živnostníků České republiky</w:t>
      </w:r>
      <w:r w:rsidRPr="00673DB7">
        <w:rPr>
          <w:rFonts w:eastAsia="Times New Roman" w:cs="Calibri"/>
          <w:lang w:eastAsia="cs-CZ"/>
        </w:rPr>
        <w:t xml:space="preserve"> zastřešuje malé a střední podniky (MSP), živnostníky a dále spolky, cechy a sdružení zastupující konkrétní profesní zájmy malých podnikatelů.</w:t>
      </w:r>
    </w:p>
    <w:p w14:paraId="7520FFD6" w14:textId="77777777" w:rsidR="0089622E" w:rsidRPr="00673DB7" w:rsidRDefault="0089622E" w:rsidP="0089622E">
      <w:pPr>
        <w:pStyle w:val="Odstavecseseznamem"/>
        <w:spacing w:line="276" w:lineRule="auto"/>
        <w:jc w:val="both"/>
        <w:rPr>
          <w:rFonts w:cs="Calibri"/>
        </w:rPr>
      </w:pPr>
    </w:p>
    <w:p w14:paraId="0E03A237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eastAsia="Times New Roman" w:cs="Calibri"/>
          <w:lang w:eastAsia="cs-CZ"/>
        </w:rPr>
      </w:pPr>
      <w:r w:rsidRPr="00673DB7">
        <w:rPr>
          <w:rFonts w:eastAsia="Times New Roman" w:cs="Calibri"/>
          <w:b/>
          <w:i/>
          <w:lang w:eastAsia="cs-CZ"/>
        </w:rPr>
        <w:t>Výzkumné organizace a Akademie věd ČR – náleží</w:t>
      </w:r>
      <w:r w:rsidRPr="00673DB7">
        <w:rPr>
          <w:rFonts w:eastAsia="Times New Roman" w:cs="Calibri"/>
          <w:lang w:eastAsia="cs-CZ"/>
        </w:rPr>
        <w:t xml:space="preserve"> sem vysoké školy, výzkumné ústavy, Akademie věd a její ústavy a další výzkumná pracoviště. Jejich hlavním úkolem je transfer nových vědecko-výzkumných poznatků do uživatelské sféry.</w:t>
      </w:r>
    </w:p>
    <w:p w14:paraId="3C72D9FE" w14:textId="77777777" w:rsidR="0089622E" w:rsidRPr="00673DB7" w:rsidRDefault="0089622E" w:rsidP="0089622E">
      <w:pPr>
        <w:pStyle w:val="Odstavecseseznamem"/>
        <w:numPr>
          <w:ilvl w:val="0"/>
          <w:numId w:val="45"/>
        </w:numPr>
        <w:spacing w:after="0" w:line="276" w:lineRule="auto"/>
        <w:jc w:val="both"/>
        <w:rPr>
          <w:rFonts w:cs="Calibri"/>
        </w:rPr>
      </w:pPr>
      <w:r w:rsidRPr="00673DB7">
        <w:rPr>
          <w:rStyle w:val="Siln"/>
          <w:rFonts w:cs="Calibri"/>
        </w:rPr>
        <w:t>Operační program Podnikání a inovace (OPPI)</w:t>
      </w:r>
      <w:r w:rsidRPr="00673DB7">
        <w:rPr>
          <w:rFonts w:cs="Calibri"/>
        </w:rPr>
        <w:t xml:space="preserve"> je základním programovým dokumentem Ministerstva průmyslu a obchodu ČR pro čerpání finančních prostředků ze strukturálních fondů EU.</w:t>
      </w:r>
    </w:p>
    <w:p w14:paraId="61BF4766" w14:textId="77777777" w:rsidR="005E33EA" w:rsidRPr="0089622E" w:rsidRDefault="005E33EA" w:rsidP="0089622E"/>
    <w:sectPr w:rsidR="005E33EA" w:rsidRPr="00896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39"/>
    <w:multiLevelType w:val="hybridMultilevel"/>
    <w:tmpl w:val="321E0508"/>
    <w:lvl w:ilvl="0" w:tplc="0405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4CD5DEF"/>
    <w:multiLevelType w:val="multilevel"/>
    <w:tmpl w:val="B4F0E87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DBC29F7"/>
    <w:multiLevelType w:val="multilevel"/>
    <w:tmpl w:val="34646AD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8B181A"/>
    <w:multiLevelType w:val="multilevel"/>
    <w:tmpl w:val="5696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3376"/>
    <w:multiLevelType w:val="multilevel"/>
    <w:tmpl w:val="C672B08A"/>
    <w:lvl w:ilvl="0">
      <w:numFmt w:val="bullet"/>
      <w:lvlText w:val=""/>
      <w:lvlJc w:val="left"/>
      <w:pPr>
        <w:ind w:left="705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5" w15:restartNumberingAfterBreak="0">
    <w:nsid w:val="17486B34"/>
    <w:multiLevelType w:val="multilevel"/>
    <w:tmpl w:val="939C6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A46131F"/>
    <w:multiLevelType w:val="multilevel"/>
    <w:tmpl w:val="692E6EE6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A24230"/>
    <w:multiLevelType w:val="multilevel"/>
    <w:tmpl w:val="E9DAE5B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1E641342"/>
    <w:multiLevelType w:val="multilevel"/>
    <w:tmpl w:val="E27073A8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1BB2C9E"/>
    <w:multiLevelType w:val="multilevel"/>
    <w:tmpl w:val="BF4C57A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42E3421"/>
    <w:multiLevelType w:val="multilevel"/>
    <w:tmpl w:val="5696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34AE"/>
    <w:multiLevelType w:val="hybridMultilevel"/>
    <w:tmpl w:val="8092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4D94"/>
    <w:multiLevelType w:val="multilevel"/>
    <w:tmpl w:val="C1F8E3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ADC033C"/>
    <w:multiLevelType w:val="hybridMultilevel"/>
    <w:tmpl w:val="CCDA62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6F3D"/>
    <w:multiLevelType w:val="multilevel"/>
    <w:tmpl w:val="9880FDB6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2F6322DD"/>
    <w:multiLevelType w:val="multilevel"/>
    <w:tmpl w:val="56960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4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F454F"/>
    <w:multiLevelType w:val="multilevel"/>
    <w:tmpl w:val="35820DBC"/>
    <w:lvl w:ilvl="0">
      <w:start w:val="3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3F75B23"/>
    <w:multiLevelType w:val="multilevel"/>
    <w:tmpl w:val="4786694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41519A"/>
    <w:multiLevelType w:val="hybridMultilevel"/>
    <w:tmpl w:val="9B602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B066D"/>
    <w:multiLevelType w:val="multilevel"/>
    <w:tmpl w:val="683C676C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ACE2169"/>
    <w:multiLevelType w:val="multilevel"/>
    <w:tmpl w:val="4BCC609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B6F6277"/>
    <w:multiLevelType w:val="hybridMultilevel"/>
    <w:tmpl w:val="8E888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357EC"/>
    <w:multiLevelType w:val="multilevel"/>
    <w:tmpl w:val="7CF414B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950084"/>
    <w:multiLevelType w:val="multilevel"/>
    <w:tmpl w:val="FED6E2A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4B617D00"/>
    <w:multiLevelType w:val="multilevel"/>
    <w:tmpl w:val="81F8A64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C146A62"/>
    <w:multiLevelType w:val="hybridMultilevel"/>
    <w:tmpl w:val="97FC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560D4"/>
    <w:multiLevelType w:val="hybridMultilevel"/>
    <w:tmpl w:val="DB0CD684"/>
    <w:lvl w:ilvl="0" w:tplc="8DF80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027D9"/>
    <w:multiLevelType w:val="hybridMultilevel"/>
    <w:tmpl w:val="E1B2E93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721430"/>
    <w:multiLevelType w:val="multilevel"/>
    <w:tmpl w:val="4BCC6094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3" w:hanging="37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9" w15:restartNumberingAfterBreak="0">
    <w:nsid w:val="540E57E6"/>
    <w:multiLevelType w:val="multilevel"/>
    <w:tmpl w:val="AAC6F1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04818"/>
    <w:multiLevelType w:val="multilevel"/>
    <w:tmpl w:val="0836446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4660BFE"/>
    <w:multiLevelType w:val="multilevel"/>
    <w:tmpl w:val="87E4D4BA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4882569"/>
    <w:multiLevelType w:val="multilevel"/>
    <w:tmpl w:val="D7C2C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94D211C"/>
    <w:multiLevelType w:val="multilevel"/>
    <w:tmpl w:val="938A9F02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B1A71"/>
    <w:multiLevelType w:val="multilevel"/>
    <w:tmpl w:val="4D869108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8055E18"/>
    <w:multiLevelType w:val="multilevel"/>
    <w:tmpl w:val="0A7EE91C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9040B3E"/>
    <w:multiLevelType w:val="multilevel"/>
    <w:tmpl w:val="15F4B74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A033B5E"/>
    <w:multiLevelType w:val="hybridMultilevel"/>
    <w:tmpl w:val="80EA1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E6B69"/>
    <w:multiLevelType w:val="hybridMultilevel"/>
    <w:tmpl w:val="5066A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29E0"/>
    <w:multiLevelType w:val="multilevel"/>
    <w:tmpl w:val="546C0C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b/>
        <w:i w:val="0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 w15:restartNumberingAfterBreak="0">
    <w:nsid w:val="71843128"/>
    <w:multiLevelType w:val="hybridMultilevel"/>
    <w:tmpl w:val="27E019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4998"/>
    <w:multiLevelType w:val="multilevel"/>
    <w:tmpl w:val="31EEDDA2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8650272"/>
    <w:multiLevelType w:val="hybridMultilevel"/>
    <w:tmpl w:val="04DAA1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C49B6"/>
    <w:multiLevelType w:val="hybridMultilevel"/>
    <w:tmpl w:val="20B4F408"/>
    <w:lvl w:ilvl="0" w:tplc="C122DC5A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32353"/>
    <w:multiLevelType w:val="hybridMultilevel"/>
    <w:tmpl w:val="D87EE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703763">
    <w:abstractNumId w:val="25"/>
  </w:num>
  <w:num w:numId="2" w16cid:durableId="993487232">
    <w:abstractNumId w:val="11"/>
  </w:num>
  <w:num w:numId="3" w16cid:durableId="708645738">
    <w:abstractNumId w:val="44"/>
  </w:num>
  <w:num w:numId="4" w16cid:durableId="2063820525">
    <w:abstractNumId w:val="21"/>
  </w:num>
  <w:num w:numId="5" w16cid:durableId="1698120528">
    <w:abstractNumId w:val="37"/>
  </w:num>
  <w:num w:numId="6" w16cid:durableId="569342557">
    <w:abstractNumId w:val="40"/>
  </w:num>
  <w:num w:numId="7" w16cid:durableId="617879856">
    <w:abstractNumId w:val="18"/>
  </w:num>
  <w:num w:numId="8" w16cid:durableId="793063318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2705672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6232808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832068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43021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9607429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276764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91850050">
    <w:abstractNumId w:val="38"/>
  </w:num>
  <w:num w:numId="16" w16cid:durableId="1449274048">
    <w:abstractNumId w:val="5"/>
  </w:num>
  <w:num w:numId="17" w16cid:durableId="76253040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111700628">
    <w:abstractNumId w:val="33"/>
  </w:num>
  <w:num w:numId="19" w16cid:durableId="505898621">
    <w:abstractNumId w:val="3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0" w16cid:durableId="16721371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0432844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2367403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31464981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29112386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5223106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40490810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47710365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91674656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6751095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18857159">
    <w:abstractNumId w:val="20"/>
  </w:num>
  <w:num w:numId="31" w16cid:durableId="1990787659">
    <w:abstractNumId w:val="0"/>
  </w:num>
  <w:num w:numId="32" w16cid:durableId="782191338">
    <w:abstractNumId w:val="26"/>
  </w:num>
  <w:num w:numId="33" w16cid:durableId="690569655">
    <w:abstractNumId w:val="27"/>
  </w:num>
  <w:num w:numId="34" w16cid:durableId="1087770290">
    <w:abstractNumId w:val="13"/>
  </w:num>
  <w:num w:numId="35" w16cid:durableId="1990791815">
    <w:abstractNumId w:val="42"/>
  </w:num>
  <w:num w:numId="36" w16cid:durableId="191039076">
    <w:abstractNumId w:val="32"/>
  </w:num>
  <w:num w:numId="37" w16cid:durableId="1743142446">
    <w:abstractNumId w:val="15"/>
  </w:num>
  <w:num w:numId="38" w16cid:durableId="957027045">
    <w:abstractNumId w:val="3"/>
  </w:num>
  <w:num w:numId="39" w16cid:durableId="124861189">
    <w:abstractNumId w:val="43"/>
  </w:num>
  <w:num w:numId="40" w16cid:durableId="1946771312">
    <w:abstractNumId w:val="16"/>
  </w:num>
  <w:num w:numId="41" w16cid:durableId="6492976">
    <w:abstractNumId w:val="12"/>
  </w:num>
  <w:num w:numId="42" w16cid:durableId="1314335609">
    <w:abstractNumId w:val="6"/>
  </w:num>
  <w:num w:numId="43" w16cid:durableId="27410768">
    <w:abstractNumId w:val="2"/>
  </w:num>
  <w:num w:numId="44" w16cid:durableId="1755006930">
    <w:abstractNumId w:val="28"/>
  </w:num>
  <w:num w:numId="45" w16cid:durableId="112289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49"/>
    <w:rsid w:val="00082A22"/>
    <w:rsid w:val="005E33EA"/>
    <w:rsid w:val="0089622E"/>
    <w:rsid w:val="009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1799"/>
  <w15:chartTrackingRefBased/>
  <w15:docId w15:val="{8667A63F-8005-443D-84A3-BA5653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A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5A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D5A49"/>
    <w:pPr>
      <w:spacing w:after="160" w:line="256" w:lineRule="auto"/>
      <w:ind w:left="720"/>
      <w:contextualSpacing/>
    </w:pPr>
  </w:style>
  <w:style w:type="character" w:styleId="Hypertextovodkaz">
    <w:name w:val="Hyperlink"/>
    <w:semiHidden/>
    <w:unhideWhenUsed/>
    <w:rsid w:val="00082A22"/>
    <w:rPr>
      <w:color w:val="0000FF"/>
      <w:u w:val="single" w:color="000000"/>
    </w:rPr>
  </w:style>
  <w:style w:type="character" w:styleId="Siln">
    <w:name w:val="Strong"/>
    <w:qFormat/>
    <w:rsid w:val="00082A22"/>
    <w:rPr>
      <w:b/>
      <w:bCs w:val="0"/>
      <w:sz w:val="29"/>
      <w:szCs w:val="29"/>
    </w:rPr>
  </w:style>
  <w:style w:type="paragraph" w:styleId="Normlnweb">
    <w:name w:val="Normal (Web)"/>
    <w:basedOn w:val="Normln"/>
    <w:unhideWhenUsed/>
    <w:rsid w:val="00082A22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vraznn">
    <w:name w:val="Zvýraznění"/>
    <w:rsid w:val="00896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C34B-DDEB-4AF0-8BC9-D920CA32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2022-07-12T13:09:00Z</dcterms:created>
  <dcterms:modified xsi:type="dcterms:W3CDTF">2022-07-12T13:09:00Z</dcterms:modified>
</cp:coreProperties>
</file>