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840A" w14:textId="77777777" w:rsidR="009D5A49" w:rsidRPr="00673DB7" w:rsidRDefault="009D5A49" w:rsidP="009D5A49">
      <w:pPr>
        <w:pStyle w:val="Odstavecseseznamem"/>
        <w:spacing w:line="259" w:lineRule="auto"/>
        <w:ind w:left="0"/>
        <w:jc w:val="both"/>
        <w:rPr>
          <w:rFonts w:cs="Calibri"/>
          <w:bCs/>
          <w:sz w:val="28"/>
          <w:szCs w:val="28"/>
        </w:rPr>
      </w:pPr>
      <w:r w:rsidRPr="00673DB7">
        <w:rPr>
          <w:rFonts w:cs="Calibri"/>
          <w:bCs/>
          <w:sz w:val="28"/>
          <w:szCs w:val="28"/>
        </w:rPr>
        <w:t xml:space="preserve">2 Téma – Proces změny v podniku, predikce změn ve vazbě na konkurenční výhodu a funkční a procesní řízení změn </w:t>
      </w:r>
    </w:p>
    <w:p w14:paraId="555745E7" w14:textId="77777777" w:rsidR="009D5A49" w:rsidRPr="00673DB7" w:rsidRDefault="009D5A49" w:rsidP="009D5A49">
      <w:pPr>
        <w:rPr>
          <w:rFonts w:cs="Calibri"/>
          <w:bCs/>
        </w:rPr>
      </w:pPr>
    </w:p>
    <w:p w14:paraId="102199B2" w14:textId="77777777" w:rsidR="009D5A49" w:rsidRPr="00673DB7" w:rsidRDefault="009D5A49" w:rsidP="009D5A49">
      <w:pPr>
        <w:numPr>
          <w:ilvl w:val="0"/>
          <w:numId w:val="15"/>
        </w:numPr>
        <w:jc w:val="both"/>
        <w:rPr>
          <w:rFonts w:cs="Calibri"/>
          <w:b/>
          <w:lang w:eastAsia="cs-CZ"/>
        </w:rPr>
      </w:pPr>
      <w:r w:rsidRPr="00673DB7">
        <w:rPr>
          <w:rFonts w:cs="Calibri"/>
          <w:b/>
          <w:lang w:eastAsia="cs-CZ"/>
        </w:rPr>
        <w:t xml:space="preserve">Etapizace (kroky) procesu změny a jeho fázování </w:t>
      </w:r>
    </w:p>
    <w:p w14:paraId="7411EEEB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F07A27B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 xml:space="preserve">Aby byla navozena příznivá situace v podniku k realizaci změny (změn) je nezbytné vytvořit příznivé klima, atmosféru, jejímž základem je motivace vedoucích pracovníků a posléze ostatních zaměstnanců ke změnám. </w:t>
      </w:r>
    </w:p>
    <w:p w14:paraId="12F1454B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CFC046B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673DB7">
        <w:rPr>
          <w:rFonts w:ascii="Calibri" w:hAnsi="Calibri" w:cs="Calibri"/>
          <w:b/>
          <w:iCs/>
          <w:sz w:val="22"/>
          <w:szCs w:val="22"/>
        </w:rPr>
        <w:t>Fázování procesů změny v podniku</w:t>
      </w:r>
    </w:p>
    <w:p w14:paraId="7B426338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73DB7">
        <w:rPr>
          <w:rFonts w:ascii="Calibri" w:hAnsi="Calibri" w:cs="Calibri"/>
          <w:b/>
          <w:iCs/>
          <w:sz w:val="22"/>
          <w:szCs w:val="22"/>
        </w:rPr>
        <w:t xml:space="preserve"> </w:t>
      </w:r>
    </w:p>
    <w:p w14:paraId="3CE56031" w14:textId="77777777" w:rsidR="009D5A49" w:rsidRPr="00673DB7" w:rsidRDefault="009D5A49" w:rsidP="009D5A49">
      <w:pPr>
        <w:pStyle w:val="Default"/>
        <w:spacing w:after="167"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b/>
          <w:sz w:val="22"/>
          <w:szCs w:val="22"/>
        </w:rPr>
        <w:t>1. Fáze</w:t>
      </w:r>
      <w:r w:rsidRPr="00673DB7">
        <w:rPr>
          <w:rFonts w:ascii="Calibri" w:hAnsi="Calibri" w:cs="Calibri"/>
          <w:sz w:val="22"/>
          <w:szCs w:val="22"/>
        </w:rPr>
        <w:t xml:space="preserve"> – Identifikace změny (ziskovost podniku klesá, postavení na trhu se zhoršuje, výstupy z kontrolní činnosti signalizují nedostatky, interní audit zjistil vážné nedostatky, finanční situace se zhoršuje, kvalita výrobků vykazuje nedostatky, reklamace zákazníků, roste nákladovost výroby, stagnuje produktivita práce, narůstá fluktuace pracovníků a jiné) </w:t>
      </w:r>
    </w:p>
    <w:p w14:paraId="46A81396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b/>
          <w:sz w:val="22"/>
          <w:szCs w:val="22"/>
        </w:rPr>
        <w:t>2. Fáze</w:t>
      </w:r>
      <w:r w:rsidRPr="00673DB7">
        <w:rPr>
          <w:rFonts w:ascii="Calibri" w:hAnsi="Calibri" w:cs="Calibri"/>
          <w:sz w:val="22"/>
          <w:szCs w:val="22"/>
        </w:rPr>
        <w:t xml:space="preserve"> – Diagnóza krizové situace (analýza projevů (symptomů) krizového stavu, objektivní posouzení podstaty krizového jevu, přesné vymezení cíle, kterého má být změnou dosaženo, vymezení rozsahu i hloubky změn). </w:t>
      </w:r>
    </w:p>
    <w:p w14:paraId="39044EE3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b/>
          <w:color w:val="auto"/>
          <w:sz w:val="22"/>
          <w:szCs w:val="22"/>
        </w:rPr>
        <w:t>3. Fáze</w:t>
      </w:r>
      <w:r w:rsidRPr="00673DB7">
        <w:rPr>
          <w:rFonts w:ascii="Calibri" w:hAnsi="Calibri" w:cs="Calibri"/>
          <w:color w:val="auto"/>
          <w:sz w:val="22"/>
          <w:szCs w:val="22"/>
        </w:rPr>
        <w:t xml:space="preserve"> – Stanovení limitujících podmínek. </w:t>
      </w:r>
    </w:p>
    <w:p w14:paraId="75533BCB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color w:val="auto"/>
          <w:sz w:val="22"/>
          <w:szCs w:val="22"/>
        </w:rPr>
        <w:t xml:space="preserve">Pracovníky, kteří změnu v podniku řeší, ovlivňuje: </w:t>
      </w:r>
    </w:p>
    <w:p w14:paraId="1529D914" w14:textId="77777777" w:rsidR="009D5A49" w:rsidRPr="00673DB7" w:rsidRDefault="009D5A49" w:rsidP="009D5A49">
      <w:pPr>
        <w:pStyle w:val="Default"/>
        <w:numPr>
          <w:ilvl w:val="0"/>
          <w:numId w:val="1"/>
        </w:numPr>
        <w:spacing w:after="181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color w:val="auto"/>
          <w:sz w:val="22"/>
          <w:szCs w:val="22"/>
        </w:rPr>
        <w:t xml:space="preserve">Podnikové klima, </w:t>
      </w:r>
    </w:p>
    <w:p w14:paraId="01799156" w14:textId="77777777" w:rsidR="009D5A49" w:rsidRPr="00673DB7" w:rsidRDefault="009D5A49" w:rsidP="009D5A49">
      <w:pPr>
        <w:pStyle w:val="Default"/>
        <w:numPr>
          <w:ilvl w:val="0"/>
          <w:numId w:val="1"/>
        </w:numPr>
        <w:spacing w:after="181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color w:val="auto"/>
          <w:sz w:val="22"/>
          <w:szCs w:val="22"/>
        </w:rPr>
        <w:t xml:space="preserve">Strategické myšlení a rozhodování vrcholového vedení, podnikové normy, předpisy a směrnice, kontrolní systém podniku, sdílení podnikových hodnot manažery apod., </w:t>
      </w:r>
    </w:p>
    <w:p w14:paraId="2FC94525" w14:textId="77777777" w:rsidR="009D5A49" w:rsidRPr="00673DB7" w:rsidRDefault="009D5A49" w:rsidP="009D5A49">
      <w:pPr>
        <w:pStyle w:val="Default"/>
        <w:numPr>
          <w:ilvl w:val="0"/>
          <w:numId w:val="1"/>
        </w:numPr>
        <w:spacing w:after="181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color w:val="auto"/>
          <w:sz w:val="22"/>
          <w:szCs w:val="22"/>
        </w:rPr>
        <w:t xml:space="preserve">Podniková architektura. </w:t>
      </w:r>
    </w:p>
    <w:p w14:paraId="576E590F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b/>
          <w:color w:val="auto"/>
          <w:sz w:val="22"/>
          <w:szCs w:val="22"/>
        </w:rPr>
        <w:t>4. Fáze</w:t>
      </w:r>
      <w:r w:rsidRPr="00673DB7">
        <w:rPr>
          <w:rFonts w:ascii="Calibri" w:hAnsi="Calibri" w:cs="Calibri"/>
          <w:color w:val="auto"/>
          <w:sz w:val="22"/>
          <w:szCs w:val="22"/>
        </w:rPr>
        <w:t xml:space="preserve"> strategické změny. </w:t>
      </w:r>
    </w:p>
    <w:p w14:paraId="3F5B77C4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color w:val="auto"/>
          <w:sz w:val="22"/>
          <w:szCs w:val="22"/>
        </w:rPr>
        <w:t xml:space="preserve">Při rozhodovacích procesech lze volit tři přístupy: </w:t>
      </w:r>
    </w:p>
    <w:p w14:paraId="330E7E29" w14:textId="77777777" w:rsidR="009D5A49" w:rsidRPr="00673DB7" w:rsidRDefault="009D5A49" w:rsidP="009D5A49">
      <w:pPr>
        <w:pStyle w:val="Default"/>
        <w:numPr>
          <w:ilvl w:val="0"/>
          <w:numId w:val="2"/>
        </w:numPr>
        <w:spacing w:after="181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color w:val="auto"/>
          <w:sz w:val="22"/>
          <w:szCs w:val="22"/>
        </w:rPr>
        <w:t xml:space="preserve">Opírající se o jednostrannou pravomoc, </w:t>
      </w:r>
    </w:p>
    <w:p w14:paraId="4E0AAA35" w14:textId="77777777" w:rsidR="009D5A49" w:rsidRPr="00673DB7" w:rsidRDefault="009D5A49" w:rsidP="009D5A49">
      <w:pPr>
        <w:pStyle w:val="Default"/>
        <w:numPr>
          <w:ilvl w:val="0"/>
          <w:numId w:val="2"/>
        </w:numPr>
        <w:spacing w:after="181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color w:val="auto"/>
          <w:sz w:val="22"/>
          <w:szCs w:val="22"/>
        </w:rPr>
        <w:t xml:space="preserve">Opírající se o sdílenou pravomoc, </w:t>
      </w:r>
    </w:p>
    <w:p w14:paraId="0A309FC1" w14:textId="77777777" w:rsidR="009D5A49" w:rsidRPr="00673DB7" w:rsidRDefault="009D5A49" w:rsidP="009D5A49">
      <w:pPr>
        <w:pStyle w:val="Default"/>
        <w:numPr>
          <w:ilvl w:val="0"/>
          <w:numId w:val="2"/>
        </w:numPr>
        <w:spacing w:after="181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color w:val="auto"/>
          <w:sz w:val="22"/>
          <w:szCs w:val="22"/>
        </w:rPr>
        <w:t xml:space="preserve">Opírající se o delegovanou pravomoc. </w:t>
      </w:r>
    </w:p>
    <w:p w14:paraId="066D6331" w14:textId="77777777" w:rsidR="009D5A49" w:rsidRPr="00673DB7" w:rsidRDefault="009D5A49" w:rsidP="009D5A49">
      <w:pPr>
        <w:pStyle w:val="Default"/>
        <w:spacing w:after="181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b/>
          <w:color w:val="auto"/>
          <w:sz w:val="22"/>
          <w:szCs w:val="22"/>
        </w:rPr>
        <w:t>5. Fáze</w:t>
      </w:r>
      <w:r w:rsidRPr="00673DB7">
        <w:rPr>
          <w:rFonts w:ascii="Calibri" w:hAnsi="Calibri" w:cs="Calibri"/>
          <w:color w:val="auto"/>
          <w:sz w:val="22"/>
          <w:szCs w:val="22"/>
        </w:rPr>
        <w:t xml:space="preserve"> – Realizace změny a vyhodnocení dosažených cílů. </w:t>
      </w:r>
    </w:p>
    <w:p w14:paraId="2D830B7F" w14:textId="77777777" w:rsidR="009D5A49" w:rsidRPr="00673DB7" w:rsidRDefault="009D5A49" w:rsidP="009D5A49">
      <w:pPr>
        <w:pStyle w:val="Default"/>
        <w:numPr>
          <w:ilvl w:val="0"/>
          <w:numId w:val="3"/>
        </w:numPr>
        <w:spacing w:after="181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color w:val="auto"/>
          <w:sz w:val="22"/>
          <w:szCs w:val="22"/>
        </w:rPr>
        <w:t xml:space="preserve">Načasování změny, </w:t>
      </w:r>
    </w:p>
    <w:p w14:paraId="175CBF8F" w14:textId="77777777" w:rsidR="009D5A49" w:rsidRPr="00673DB7" w:rsidRDefault="009D5A49" w:rsidP="009D5A49">
      <w:pPr>
        <w:pStyle w:val="Default"/>
        <w:numPr>
          <w:ilvl w:val="0"/>
          <w:numId w:val="3"/>
        </w:numPr>
        <w:spacing w:after="181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color w:val="auto"/>
          <w:sz w:val="22"/>
          <w:szCs w:val="22"/>
        </w:rPr>
        <w:t xml:space="preserve">Rozsah změny. </w:t>
      </w:r>
    </w:p>
    <w:p w14:paraId="5C2DA22C" w14:textId="77777777" w:rsidR="009D5A49" w:rsidRPr="00673DB7" w:rsidRDefault="009D5A49" w:rsidP="009D5A49">
      <w:pPr>
        <w:jc w:val="both"/>
        <w:rPr>
          <w:rFonts w:cs="Calibri"/>
          <w:lang w:eastAsia="cs-CZ"/>
        </w:rPr>
      </w:pPr>
    </w:p>
    <w:p w14:paraId="5DB347ED" w14:textId="77777777" w:rsidR="009D5A49" w:rsidRPr="00673DB7" w:rsidRDefault="009D5A49" w:rsidP="009D5A49">
      <w:pPr>
        <w:jc w:val="both"/>
        <w:rPr>
          <w:rFonts w:cs="Calibri"/>
          <w:lang w:eastAsia="cs-CZ"/>
        </w:rPr>
      </w:pPr>
    </w:p>
    <w:p w14:paraId="41DB360D" w14:textId="77777777" w:rsidR="009D5A49" w:rsidRPr="00673DB7" w:rsidRDefault="009D5A49" w:rsidP="009D5A49">
      <w:pPr>
        <w:jc w:val="both"/>
        <w:rPr>
          <w:rFonts w:cs="Calibri"/>
          <w:lang w:eastAsia="cs-CZ"/>
        </w:rPr>
      </w:pPr>
    </w:p>
    <w:p w14:paraId="11B55A3B" w14:textId="77777777" w:rsidR="009D5A49" w:rsidRPr="00673DB7" w:rsidRDefault="009D5A49" w:rsidP="009D5A49">
      <w:pPr>
        <w:numPr>
          <w:ilvl w:val="0"/>
          <w:numId w:val="15"/>
        </w:numPr>
        <w:jc w:val="both"/>
        <w:rPr>
          <w:rFonts w:cs="Calibri"/>
          <w:b/>
          <w:lang w:eastAsia="cs-CZ"/>
        </w:rPr>
      </w:pPr>
      <w:r w:rsidRPr="00673DB7">
        <w:rPr>
          <w:rFonts w:cs="Calibri"/>
          <w:b/>
          <w:lang w:eastAsia="cs-CZ"/>
        </w:rPr>
        <w:lastRenderedPageBreak/>
        <w:t>Funkční a procesní řízení jako předpoklad úspěšné realizace podnikové změny</w:t>
      </w:r>
    </w:p>
    <w:p w14:paraId="7553442D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166B5BC6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  <w:r w:rsidRPr="00673DB7">
        <w:rPr>
          <w:rFonts w:ascii="Calibri" w:hAnsi="Calibri" w:cs="Calibri"/>
          <w:bCs/>
          <w:i/>
          <w:sz w:val="22"/>
          <w:szCs w:val="22"/>
        </w:rPr>
        <w:t xml:space="preserve">Zásadní vývojový mezník v řízení podniků – přechod na funkční a procesní řízení </w:t>
      </w:r>
    </w:p>
    <w:p w14:paraId="2FAC8449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085BB7B2" w14:textId="77777777" w:rsidR="009D5A49" w:rsidRPr="00673DB7" w:rsidRDefault="009D5A49" w:rsidP="009D5A49">
      <w:pPr>
        <w:pStyle w:val="Defaul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 xml:space="preserve">V posledním desetiletí jsme v naší podnikové sféře svědky přechodu od útvarového řízení podniků, převažující ještě koncem 20. století k řízení funkčnímu, které je v posledním období nahrazováno, či doplňováno řízením procesním. </w:t>
      </w:r>
    </w:p>
    <w:p w14:paraId="41A2CC9B" w14:textId="77777777" w:rsidR="009D5A49" w:rsidRPr="00673DB7" w:rsidRDefault="009D5A49" w:rsidP="009D5A49">
      <w:pPr>
        <w:pStyle w:val="Defaul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>Výhodami funkčního řízení oproti útvarovému řízení jsou efektivní využití zdrojů</w:t>
      </w:r>
      <w:r w:rsidRPr="00673DB7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673DB7">
        <w:rPr>
          <w:rFonts w:ascii="Calibri" w:hAnsi="Calibri" w:cs="Calibri"/>
          <w:sz w:val="22"/>
          <w:szCs w:val="22"/>
        </w:rPr>
        <w:t xml:space="preserve">specializace a koncentrace dovedností, kariérový růst zaměstnanců a strategické řízení a rozhodování. Přes nesporný přínos funkčního řízení lze ovšem vymezit i řadu jeho negativních stránek. V současnosti je funkční řízení zavedeno ve více jak 75 % podniků v ČR (podle výzkumu VŠTE v ČB, 2017). V důsledku stále intenzivnějšího působení změn ve vnějším okolí na podnik je však stále ve větší míře zaváděno procesní řízení, které buď doplňuje, či plně nahrazuje řízení útvarové. </w:t>
      </w:r>
    </w:p>
    <w:p w14:paraId="1D901ED7" w14:textId="77777777" w:rsidR="009D5A49" w:rsidRPr="00673DB7" w:rsidRDefault="009D5A49" w:rsidP="009D5A49">
      <w:pPr>
        <w:pStyle w:val="Default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3CFBF15A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 xml:space="preserve">Procesní řízení vystavěné na řízení funkčním umožňuje manažerům sledovat, hodnotit a řídit vnitropodnikové procesy. Díky rozdělení podnikových činností na jednotlivé procesy může podnik všechny tyto činnosti detailně popsat, měřit jejich efektivitu a následně podle výsledků procesy měnit. Díky definování těchto procesů lze skutečné výsledky práce měřit a porovnávat je s plánovaným množstvím, které je definováno v procesu. Hlavním cílem podniku se tak stává uspokojení zákazníka v co nejvyšší možné míře. Pro tento způsob řízení podnikových procesů je typická horizontální organizační struktura namísto vertikální, používané u funkčního modelu řízení. </w:t>
      </w:r>
    </w:p>
    <w:p w14:paraId="2866DBF8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>Kvůli řadě nedostatků funkčního řízení se ve firmách objevuje vůle po změně v dosavadním způsobu řízení a jako nástroj změn podnikových procesů je využíváno procesní řízení.</w:t>
      </w:r>
    </w:p>
    <w:p w14:paraId="0D117D82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308917B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color w:val="auto"/>
          <w:sz w:val="22"/>
          <w:szCs w:val="22"/>
        </w:rPr>
        <w:t xml:space="preserve">Při transformaci podniku z funkčního na procesní řízení se používá metoda známá pod názvem „3R“ a jejími hlavními atributy jsou: </w:t>
      </w:r>
    </w:p>
    <w:p w14:paraId="2AC210CC" w14:textId="77777777" w:rsidR="009D5A49" w:rsidRPr="00673DB7" w:rsidRDefault="009D5A49" w:rsidP="009D5A49">
      <w:pPr>
        <w:pStyle w:val="Default"/>
        <w:numPr>
          <w:ilvl w:val="0"/>
          <w:numId w:val="5"/>
        </w:numPr>
        <w:spacing w:after="181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673DB7">
        <w:rPr>
          <w:rFonts w:ascii="Calibri" w:hAnsi="Calibri" w:cs="Calibri"/>
          <w:color w:val="auto"/>
          <w:sz w:val="22"/>
          <w:szCs w:val="22"/>
        </w:rPr>
        <w:t>Rethinking</w:t>
      </w:r>
      <w:proofErr w:type="spellEnd"/>
      <w:r w:rsidRPr="00673DB7">
        <w:rPr>
          <w:rFonts w:ascii="Calibri" w:hAnsi="Calibri" w:cs="Calibri"/>
          <w:color w:val="auto"/>
          <w:sz w:val="22"/>
          <w:szCs w:val="22"/>
        </w:rPr>
        <w:t xml:space="preserve">, </w:t>
      </w:r>
    </w:p>
    <w:p w14:paraId="720B3859" w14:textId="77777777" w:rsidR="009D5A49" w:rsidRPr="00673DB7" w:rsidRDefault="009D5A49" w:rsidP="009D5A49">
      <w:pPr>
        <w:pStyle w:val="Default"/>
        <w:numPr>
          <w:ilvl w:val="0"/>
          <w:numId w:val="5"/>
        </w:numPr>
        <w:spacing w:after="181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673DB7">
        <w:rPr>
          <w:rFonts w:ascii="Calibri" w:hAnsi="Calibri" w:cs="Calibri"/>
          <w:color w:val="auto"/>
          <w:sz w:val="22"/>
          <w:szCs w:val="22"/>
        </w:rPr>
        <w:t>Redefinition</w:t>
      </w:r>
      <w:proofErr w:type="spellEnd"/>
      <w:r w:rsidRPr="00673DB7">
        <w:rPr>
          <w:rFonts w:ascii="Calibri" w:hAnsi="Calibri" w:cs="Calibri"/>
          <w:color w:val="auto"/>
          <w:sz w:val="22"/>
          <w:szCs w:val="22"/>
        </w:rPr>
        <w:t xml:space="preserve">, </w:t>
      </w:r>
    </w:p>
    <w:p w14:paraId="337DB128" w14:textId="77777777" w:rsidR="009D5A49" w:rsidRPr="00673DB7" w:rsidRDefault="009D5A49" w:rsidP="009D5A49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color w:val="auto"/>
          <w:sz w:val="22"/>
          <w:szCs w:val="22"/>
        </w:rPr>
        <w:t xml:space="preserve">Redesign. </w:t>
      </w:r>
    </w:p>
    <w:p w14:paraId="78022B10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63AF55C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673DB7">
        <w:rPr>
          <w:rFonts w:ascii="Calibri" w:hAnsi="Calibri" w:cs="Calibri"/>
          <w:b/>
          <w:color w:val="auto"/>
          <w:sz w:val="22"/>
          <w:szCs w:val="22"/>
        </w:rPr>
        <w:t xml:space="preserve">2.3 Základní pojmy procesního řízení v kontextu podnikových změn: </w:t>
      </w:r>
    </w:p>
    <w:p w14:paraId="1EE3774E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bCs/>
          <w:iCs/>
          <w:color w:val="auto"/>
          <w:sz w:val="22"/>
          <w:szCs w:val="22"/>
        </w:rPr>
      </w:pPr>
    </w:p>
    <w:p w14:paraId="1764BD9C" w14:textId="77777777" w:rsidR="009D5A49" w:rsidRPr="00673DB7" w:rsidRDefault="009D5A49" w:rsidP="009D5A49">
      <w:pPr>
        <w:pStyle w:val="Default"/>
        <w:numPr>
          <w:ilvl w:val="0"/>
          <w:numId w:val="6"/>
        </w:numPr>
        <w:spacing w:after="183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i/>
          <w:iCs/>
          <w:color w:val="auto"/>
          <w:sz w:val="22"/>
          <w:szCs w:val="22"/>
        </w:rPr>
        <w:t xml:space="preserve">Proces </w:t>
      </w:r>
      <w:r w:rsidRPr="00673DB7">
        <w:rPr>
          <w:rFonts w:ascii="Calibri" w:hAnsi="Calibri" w:cs="Calibri"/>
          <w:color w:val="auto"/>
          <w:sz w:val="22"/>
          <w:szCs w:val="22"/>
        </w:rPr>
        <w:t xml:space="preserve">– základní stavební prvek procesního řízení soubor dílčích činností, které dohromady tvoří celek, ve kterém jednotlivé činnosti transformují předem dané vstupy na požadované výstupy. </w:t>
      </w:r>
    </w:p>
    <w:p w14:paraId="0ECACE16" w14:textId="77777777" w:rsidR="009D5A49" w:rsidRPr="00673DB7" w:rsidRDefault="009D5A49" w:rsidP="009D5A49">
      <w:pPr>
        <w:pStyle w:val="Default"/>
        <w:numPr>
          <w:ilvl w:val="0"/>
          <w:numId w:val="6"/>
        </w:numPr>
        <w:spacing w:after="183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i/>
          <w:iCs/>
          <w:color w:val="auto"/>
          <w:sz w:val="22"/>
          <w:szCs w:val="22"/>
        </w:rPr>
        <w:t xml:space="preserve">Vstup – </w:t>
      </w:r>
      <w:r w:rsidRPr="00673DB7">
        <w:rPr>
          <w:rFonts w:ascii="Calibri" w:hAnsi="Calibri" w:cs="Calibri"/>
          <w:color w:val="auto"/>
          <w:sz w:val="22"/>
          <w:szCs w:val="22"/>
        </w:rPr>
        <w:t xml:space="preserve">počáteční zdroj pro daný proces (materiál, informace, lidský zdroj a také výstup dodavatelů. </w:t>
      </w:r>
    </w:p>
    <w:p w14:paraId="1550CF40" w14:textId="77777777" w:rsidR="009D5A49" w:rsidRPr="00673DB7" w:rsidRDefault="009D5A49" w:rsidP="009D5A49">
      <w:pPr>
        <w:pStyle w:val="Default"/>
        <w:numPr>
          <w:ilvl w:val="0"/>
          <w:numId w:val="6"/>
        </w:numPr>
        <w:spacing w:after="183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i/>
          <w:iCs/>
          <w:color w:val="auto"/>
          <w:sz w:val="22"/>
          <w:szCs w:val="22"/>
        </w:rPr>
        <w:t xml:space="preserve">Výstup </w:t>
      </w:r>
      <w:r w:rsidRPr="00673DB7">
        <w:rPr>
          <w:rFonts w:ascii="Calibri" w:hAnsi="Calibri" w:cs="Calibri"/>
          <w:color w:val="auto"/>
          <w:sz w:val="22"/>
          <w:szCs w:val="22"/>
        </w:rPr>
        <w:t xml:space="preserve">– výsledek daného procesu. Po uskutečnění procesu se vstup mění na výstup. </w:t>
      </w:r>
      <w:r w:rsidRPr="00673DB7">
        <w:rPr>
          <w:rFonts w:ascii="Calibri" w:hAnsi="Calibri" w:cs="Calibri"/>
          <w:i/>
          <w:iCs/>
          <w:color w:val="auto"/>
          <w:sz w:val="22"/>
          <w:szCs w:val="22"/>
        </w:rPr>
        <w:t xml:space="preserve">Činnost </w:t>
      </w:r>
      <w:r w:rsidRPr="00673DB7">
        <w:rPr>
          <w:rFonts w:ascii="Calibri" w:hAnsi="Calibri" w:cs="Calibri"/>
          <w:color w:val="auto"/>
          <w:sz w:val="22"/>
          <w:szCs w:val="22"/>
        </w:rPr>
        <w:t>– jednotlivá aktivita, většinou prováděná určitým pracovníkem.</w:t>
      </w:r>
    </w:p>
    <w:p w14:paraId="582B9900" w14:textId="77777777" w:rsidR="009D5A49" w:rsidRPr="00673DB7" w:rsidRDefault="009D5A49" w:rsidP="009D5A49">
      <w:pPr>
        <w:pStyle w:val="Default"/>
        <w:numPr>
          <w:ilvl w:val="0"/>
          <w:numId w:val="6"/>
        </w:numPr>
        <w:spacing w:after="183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color w:val="auto"/>
          <w:sz w:val="22"/>
          <w:szCs w:val="22"/>
        </w:rPr>
        <w:lastRenderedPageBreak/>
        <w:t xml:space="preserve"> </w:t>
      </w:r>
      <w:r w:rsidRPr="00673DB7">
        <w:rPr>
          <w:rFonts w:ascii="Calibri" w:hAnsi="Calibri" w:cs="Calibri"/>
          <w:i/>
          <w:iCs/>
          <w:color w:val="auto"/>
          <w:sz w:val="22"/>
          <w:szCs w:val="22"/>
        </w:rPr>
        <w:t xml:space="preserve">Klíčový proces </w:t>
      </w:r>
      <w:r w:rsidRPr="00673DB7">
        <w:rPr>
          <w:rFonts w:ascii="Calibri" w:hAnsi="Calibri" w:cs="Calibri"/>
          <w:color w:val="auto"/>
          <w:sz w:val="22"/>
          <w:szCs w:val="22"/>
        </w:rPr>
        <w:t xml:space="preserve">– proces zajišťuje zásadní přeměny vstupů na výstupy v podobě výrobků či služeb. </w:t>
      </w:r>
    </w:p>
    <w:p w14:paraId="1B996B2C" w14:textId="77777777" w:rsidR="009D5A49" w:rsidRPr="00673DB7" w:rsidRDefault="009D5A49" w:rsidP="009D5A49">
      <w:pPr>
        <w:pStyle w:val="Default"/>
        <w:numPr>
          <w:ilvl w:val="0"/>
          <w:numId w:val="6"/>
        </w:numPr>
        <w:spacing w:after="183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i/>
          <w:iCs/>
          <w:color w:val="auto"/>
          <w:sz w:val="22"/>
          <w:szCs w:val="22"/>
        </w:rPr>
        <w:t xml:space="preserve">Podproces – </w:t>
      </w:r>
      <w:r w:rsidRPr="00673DB7">
        <w:rPr>
          <w:rFonts w:ascii="Calibri" w:hAnsi="Calibri" w:cs="Calibri"/>
          <w:color w:val="auto"/>
          <w:sz w:val="22"/>
          <w:szCs w:val="22"/>
        </w:rPr>
        <w:t xml:space="preserve">probíhá v rámci hlavního procesu. </w:t>
      </w:r>
    </w:p>
    <w:p w14:paraId="67B1261D" w14:textId="77777777" w:rsidR="009D5A49" w:rsidRPr="00673DB7" w:rsidRDefault="009D5A49" w:rsidP="009D5A49">
      <w:pPr>
        <w:pStyle w:val="Default"/>
        <w:numPr>
          <w:ilvl w:val="0"/>
          <w:numId w:val="6"/>
        </w:numPr>
        <w:spacing w:after="183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i/>
          <w:iCs/>
          <w:color w:val="auto"/>
          <w:sz w:val="22"/>
          <w:szCs w:val="22"/>
        </w:rPr>
        <w:t xml:space="preserve">Podpůrný proces </w:t>
      </w:r>
      <w:r w:rsidRPr="00673DB7">
        <w:rPr>
          <w:rFonts w:ascii="Calibri" w:hAnsi="Calibri" w:cs="Calibri"/>
          <w:color w:val="auto"/>
          <w:sz w:val="22"/>
          <w:szCs w:val="22"/>
        </w:rPr>
        <w:t>– jeho úkolem je zajišťovat správné fungování klíčového procesu.</w:t>
      </w:r>
    </w:p>
    <w:p w14:paraId="12100A0B" w14:textId="77777777" w:rsidR="009D5A49" w:rsidRPr="00673DB7" w:rsidRDefault="009D5A49" w:rsidP="009D5A49">
      <w:pPr>
        <w:pStyle w:val="Default"/>
        <w:numPr>
          <w:ilvl w:val="0"/>
          <w:numId w:val="6"/>
        </w:numPr>
        <w:spacing w:after="183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i/>
          <w:iCs/>
          <w:color w:val="auto"/>
          <w:sz w:val="22"/>
          <w:szCs w:val="22"/>
        </w:rPr>
        <w:t xml:space="preserve">Vlastník procesu </w:t>
      </w:r>
      <w:r w:rsidRPr="00673DB7">
        <w:rPr>
          <w:rFonts w:ascii="Calibri" w:hAnsi="Calibri" w:cs="Calibri"/>
          <w:color w:val="auto"/>
          <w:sz w:val="22"/>
          <w:szCs w:val="22"/>
        </w:rPr>
        <w:t>– osoba, zodpovědná za správné fungování procesu.</w:t>
      </w:r>
    </w:p>
    <w:p w14:paraId="0C5E03DE" w14:textId="77777777" w:rsidR="009D5A49" w:rsidRPr="00673DB7" w:rsidRDefault="009D5A49" w:rsidP="009D5A49">
      <w:pPr>
        <w:pStyle w:val="Default"/>
        <w:numPr>
          <w:ilvl w:val="0"/>
          <w:numId w:val="6"/>
        </w:numPr>
        <w:spacing w:after="183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i/>
          <w:iCs/>
          <w:color w:val="auto"/>
          <w:sz w:val="22"/>
          <w:szCs w:val="22"/>
        </w:rPr>
        <w:t xml:space="preserve">Průběžná doba </w:t>
      </w:r>
      <w:r w:rsidRPr="00673DB7">
        <w:rPr>
          <w:rFonts w:ascii="Calibri" w:hAnsi="Calibri" w:cs="Calibri"/>
          <w:color w:val="auto"/>
          <w:sz w:val="22"/>
          <w:szCs w:val="22"/>
        </w:rPr>
        <w:t xml:space="preserve">– čas, který proběhne od zahájení procesu až do jeho konce. </w:t>
      </w:r>
    </w:p>
    <w:p w14:paraId="0DC71426" w14:textId="77777777" w:rsidR="009D5A49" w:rsidRPr="00673DB7" w:rsidRDefault="009D5A49" w:rsidP="009D5A49">
      <w:pPr>
        <w:pStyle w:val="Default"/>
        <w:numPr>
          <w:ilvl w:val="0"/>
          <w:numId w:val="6"/>
        </w:numPr>
        <w:spacing w:after="183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i/>
          <w:iCs/>
          <w:color w:val="auto"/>
          <w:sz w:val="22"/>
          <w:szCs w:val="22"/>
        </w:rPr>
        <w:t xml:space="preserve">Procesní mapa </w:t>
      </w:r>
      <w:r w:rsidRPr="00673DB7">
        <w:rPr>
          <w:rFonts w:ascii="Calibri" w:hAnsi="Calibri" w:cs="Calibri"/>
          <w:color w:val="auto"/>
          <w:sz w:val="22"/>
          <w:szCs w:val="22"/>
        </w:rPr>
        <w:t xml:space="preserve">– grafické znázornění jednotlivých procesů nebo všech procesů v rámci podniku. Dostáváme obraz materiálového, pracovního a informačního toku v podniku. </w:t>
      </w:r>
    </w:p>
    <w:p w14:paraId="295CA7A2" w14:textId="77777777" w:rsidR="009D5A49" w:rsidRPr="00673DB7" w:rsidRDefault="009D5A49" w:rsidP="009D5A49">
      <w:pPr>
        <w:pStyle w:val="Default"/>
        <w:numPr>
          <w:ilvl w:val="0"/>
          <w:numId w:val="6"/>
        </w:numPr>
        <w:spacing w:after="183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i/>
          <w:iCs/>
          <w:color w:val="auto"/>
          <w:sz w:val="22"/>
          <w:szCs w:val="22"/>
        </w:rPr>
        <w:t xml:space="preserve">Hodnota pro zákazníka </w:t>
      </w:r>
      <w:r w:rsidRPr="00673DB7">
        <w:rPr>
          <w:rFonts w:ascii="Calibri" w:hAnsi="Calibri" w:cs="Calibri"/>
          <w:color w:val="auto"/>
          <w:sz w:val="22"/>
          <w:szCs w:val="22"/>
        </w:rPr>
        <w:t>– určuje míru užitku pro zákazníka, přičemž nezohledňujeme míru zisku pro podnik, ale vycházíme ze snahy procesního řízení, co nejvíce uspokojit potřeby zákazníka.</w:t>
      </w:r>
    </w:p>
    <w:p w14:paraId="6297C3AC" w14:textId="77777777" w:rsidR="009D5A49" w:rsidRPr="00673DB7" w:rsidRDefault="009D5A49" w:rsidP="009D5A49">
      <w:pPr>
        <w:pStyle w:val="Default"/>
        <w:numPr>
          <w:ilvl w:val="0"/>
          <w:numId w:val="6"/>
        </w:numPr>
        <w:spacing w:after="183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73DB7">
        <w:rPr>
          <w:rFonts w:ascii="Calibri" w:hAnsi="Calibri" w:cs="Calibri"/>
          <w:i/>
          <w:iCs/>
          <w:color w:val="auto"/>
          <w:sz w:val="22"/>
          <w:szCs w:val="22"/>
        </w:rPr>
        <w:t xml:space="preserve">Hodnotová metrika </w:t>
      </w:r>
      <w:r w:rsidRPr="00673DB7">
        <w:rPr>
          <w:rFonts w:ascii="Calibri" w:hAnsi="Calibri" w:cs="Calibri"/>
          <w:color w:val="auto"/>
          <w:sz w:val="22"/>
          <w:szCs w:val="22"/>
        </w:rPr>
        <w:t xml:space="preserve">– souhrn všech ukazatelů, které určují hodnotu procesu pro zákazníka. </w:t>
      </w:r>
    </w:p>
    <w:p w14:paraId="733A84CF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705E58C" w14:textId="77777777" w:rsidR="009D5A49" w:rsidRPr="00673DB7" w:rsidRDefault="009D5A49" w:rsidP="009D5A49">
      <w:pPr>
        <w:jc w:val="both"/>
        <w:rPr>
          <w:rFonts w:cs="Calibri"/>
        </w:rPr>
      </w:pPr>
      <w:r w:rsidRPr="00673DB7">
        <w:rPr>
          <w:rFonts w:cs="Calibri"/>
        </w:rPr>
        <w:t>V konkurenčním prostředí je podnik pod vysokým tlakem, a pokud se nebude snažit plnit požadavky svých zákazníku, hrozí, že se odběratelé jeho práce obrátí na jinou firmu. Kontinuální neboli průběžné zlepšování je metoda založená na porozumění procesu a následného hledání způsobu, jak proces zlepšit.</w:t>
      </w:r>
    </w:p>
    <w:p w14:paraId="2843F883" w14:textId="77777777" w:rsidR="009D5A49" w:rsidRPr="00673DB7" w:rsidRDefault="009D5A49" w:rsidP="009D5A49">
      <w:pPr>
        <w:jc w:val="both"/>
        <w:rPr>
          <w:rFonts w:cs="Calibri"/>
        </w:rPr>
      </w:pPr>
    </w:p>
    <w:p w14:paraId="52A18C76" w14:textId="77777777" w:rsidR="009D5A49" w:rsidRPr="00673DB7" w:rsidRDefault="009D5A49" w:rsidP="009D5A49">
      <w:pPr>
        <w:jc w:val="both"/>
        <w:rPr>
          <w:rFonts w:cs="Calibri"/>
          <w:b/>
        </w:rPr>
      </w:pPr>
      <w:r w:rsidRPr="00673DB7">
        <w:rPr>
          <w:rFonts w:cs="Calibri"/>
          <w:b/>
        </w:rPr>
        <w:t>2.4 Oblasti vyvolávající podnikové změny a jejich predikce</w:t>
      </w:r>
    </w:p>
    <w:p w14:paraId="1A9660AA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6070C6A" w14:textId="77777777" w:rsidR="009D5A49" w:rsidRPr="00673DB7" w:rsidRDefault="009D5A49" w:rsidP="009D5A49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 xml:space="preserve">Na podnik působí řada jevů, které ohrožují dosahování podnikových cílů a často také samotnou existenci firem, jde nejen o </w:t>
      </w:r>
      <w:proofErr w:type="spellStart"/>
      <w:r w:rsidRPr="00673DB7">
        <w:rPr>
          <w:rFonts w:ascii="Calibri" w:hAnsi="Calibri" w:cs="Calibri"/>
          <w:sz w:val="22"/>
          <w:szCs w:val="22"/>
        </w:rPr>
        <w:t>superkonkurenční</w:t>
      </w:r>
      <w:proofErr w:type="spellEnd"/>
      <w:r w:rsidRPr="00673DB7">
        <w:rPr>
          <w:rFonts w:ascii="Calibri" w:hAnsi="Calibri" w:cs="Calibri"/>
          <w:sz w:val="22"/>
          <w:szCs w:val="22"/>
        </w:rPr>
        <w:t xml:space="preserve"> prostředí, ale také o makroekonomické, politické, technické, technologické a další jevy. </w:t>
      </w:r>
    </w:p>
    <w:p w14:paraId="2773E9E5" w14:textId="77777777" w:rsidR="009D5A49" w:rsidRPr="00673DB7" w:rsidRDefault="009D5A49" w:rsidP="009D5A49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 xml:space="preserve">Ke každé změně je nezbytné přistupovat jako k příležitosti ke zlepšení, ale i s rizikem možného neúspěchu. </w:t>
      </w:r>
    </w:p>
    <w:p w14:paraId="24E0B030" w14:textId="77777777" w:rsidR="009D5A49" w:rsidRPr="00673DB7" w:rsidRDefault="009D5A49" w:rsidP="009D5A49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 xml:space="preserve">Změna je vždy příležitost, ale také potenciální riziko, které se musí ve svém konání management podniku snažit eliminovat na minimum. </w:t>
      </w:r>
    </w:p>
    <w:p w14:paraId="5AD3EB8A" w14:textId="77777777" w:rsidR="009D5A49" w:rsidRPr="00673DB7" w:rsidRDefault="009D5A49" w:rsidP="009D5A49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 xml:space="preserve">Nejčastějším přístupem podnikového managementu je řešení krize, až když v podniku nastane. </w:t>
      </w:r>
    </w:p>
    <w:p w14:paraId="0EFFFFA0" w14:textId="77777777" w:rsidR="009D5A49" w:rsidRPr="00673DB7" w:rsidRDefault="009D5A49" w:rsidP="009D5A49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 xml:space="preserve">Krizová situace přitom může vzniknout například kvůli neschopnosti podniku dostát svých závazků, v důsledku havárie, ekologické katastrofy nebo skandálu. Odhaduje se, že kolem 90 % podnikových krizí způsobuje management podniku svým rozhodováním nebo nepřipraveností na vznik krize. </w:t>
      </w:r>
    </w:p>
    <w:p w14:paraId="0DFE6596" w14:textId="77777777" w:rsidR="009D5A49" w:rsidRPr="00673DB7" w:rsidRDefault="009D5A49" w:rsidP="009D5A49">
      <w:pPr>
        <w:pStyle w:val="Defaul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 xml:space="preserve">Atributem dnešní doby je změna, se kterou je spojována úspěšnost podnikání, ziskovost a prosperita. Zjednodušeně lze konstatovat, že úspěšný podnik je řízen managementem, který aktivně sleduje vývoj na trhu, dokáže rozklíčovat, co se děje a přizpůsobí se vnějším okolnostem prostřednictvím dílčích či zásadních změn. </w:t>
      </w:r>
    </w:p>
    <w:p w14:paraId="738BD167" w14:textId="77777777" w:rsidR="009D5A49" w:rsidRPr="00673DB7" w:rsidRDefault="009D5A49" w:rsidP="009D5A49">
      <w:pPr>
        <w:pStyle w:val="Default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55ED592C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73DB7">
        <w:rPr>
          <w:rFonts w:ascii="Calibri" w:hAnsi="Calibri" w:cs="Calibri"/>
          <w:b/>
          <w:sz w:val="22"/>
          <w:szCs w:val="22"/>
        </w:rPr>
        <w:t xml:space="preserve">Čím je vyvolána potřeba změny? </w:t>
      </w:r>
    </w:p>
    <w:p w14:paraId="0D82D776" w14:textId="77777777" w:rsidR="009D5A49" w:rsidRPr="00673DB7" w:rsidRDefault="009D5A49" w:rsidP="009D5A4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lastRenderedPageBreak/>
        <w:t xml:space="preserve">Vnější okolí podniku: globalizační a internacionalizační procesy, ekonomické tržní prostředí, politické prostředí, výrobně-technologická oblast, konkurenční síly, změny potřeb zákazníků. </w:t>
      </w:r>
    </w:p>
    <w:p w14:paraId="6F90819C" w14:textId="77777777" w:rsidR="009D5A49" w:rsidRPr="00673DB7" w:rsidRDefault="009D5A49" w:rsidP="009D5A49">
      <w:pPr>
        <w:spacing w:before="100" w:after="100"/>
        <w:jc w:val="both"/>
        <w:rPr>
          <w:rFonts w:cs="Calibri"/>
          <w:lang w:eastAsia="cs-CZ"/>
        </w:rPr>
      </w:pPr>
    </w:p>
    <w:p w14:paraId="15C94346" w14:textId="77777777" w:rsidR="009D5A49" w:rsidRPr="00673DB7" w:rsidRDefault="009D5A49" w:rsidP="009D5A49">
      <w:pPr>
        <w:spacing w:before="100" w:after="100"/>
        <w:jc w:val="both"/>
        <w:rPr>
          <w:rFonts w:eastAsia="Times New Roman" w:cs="Calibri"/>
          <w:i/>
          <w:color w:val="19232D"/>
          <w:lang w:eastAsia="cs-CZ"/>
        </w:rPr>
      </w:pPr>
      <w:r w:rsidRPr="00673DB7">
        <w:rPr>
          <w:rFonts w:eastAsia="Times New Roman" w:cs="Calibri"/>
          <w:i/>
          <w:color w:val="19232D"/>
          <w:lang w:eastAsia="cs-CZ"/>
        </w:rPr>
        <w:t>Oblasti vyvolávající změny:</w:t>
      </w:r>
    </w:p>
    <w:p w14:paraId="652682CF" w14:textId="77777777" w:rsidR="009D5A49" w:rsidRPr="00673DB7" w:rsidRDefault="009D5A49" w:rsidP="009D5A49">
      <w:pPr>
        <w:pStyle w:val="Odstavecseseznamem"/>
        <w:numPr>
          <w:ilvl w:val="0"/>
          <w:numId w:val="8"/>
        </w:numPr>
        <w:suppressAutoHyphens/>
        <w:autoSpaceDN w:val="0"/>
        <w:spacing w:before="100" w:after="100" w:line="240" w:lineRule="auto"/>
        <w:contextualSpacing w:val="0"/>
        <w:jc w:val="both"/>
        <w:rPr>
          <w:rFonts w:eastAsia="Times New Roman" w:cs="Calibri"/>
        </w:rPr>
      </w:pPr>
      <w:r w:rsidRPr="00673DB7">
        <w:rPr>
          <w:rFonts w:cs="Calibri"/>
          <w:i/>
          <w:color w:val="19232D"/>
          <w:lang w:eastAsia="cs-CZ"/>
        </w:rPr>
        <w:t>Vnější</w:t>
      </w:r>
      <w:r w:rsidRPr="00673DB7">
        <w:rPr>
          <w:rFonts w:cs="Calibri"/>
          <w:color w:val="19232D"/>
          <w:lang w:eastAsia="cs-CZ"/>
        </w:rPr>
        <w:t>: Ekonomická oblast, Technologická oblast, Konkurenční oblast, Fyzická oblast.</w:t>
      </w:r>
    </w:p>
    <w:p w14:paraId="117529C0" w14:textId="77777777" w:rsidR="009D5A49" w:rsidRPr="00673DB7" w:rsidRDefault="009D5A49" w:rsidP="009D5A49">
      <w:pPr>
        <w:pStyle w:val="Odstavecseseznamem"/>
        <w:spacing w:before="100" w:after="100" w:line="240" w:lineRule="auto"/>
        <w:jc w:val="both"/>
        <w:rPr>
          <w:rFonts w:cs="Calibri"/>
        </w:rPr>
      </w:pPr>
    </w:p>
    <w:p w14:paraId="56CF6977" w14:textId="77777777" w:rsidR="009D5A49" w:rsidRPr="00673DB7" w:rsidRDefault="009D5A49" w:rsidP="009D5A49">
      <w:pPr>
        <w:pStyle w:val="Odstavecseseznamem"/>
        <w:numPr>
          <w:ilvl w:val="0"/>
          <w:numId w:val="8"/>
        </w:numPr>
        <w:suppressAutoHyphens/>
        <w:autoSpaceDN w:val="0"/>
        <w:spacing w:before="100" w:after="100" w:line="240" w:lineRule="auto"/>
        <w:contextualSpacing w:val="0"/>
        <w:jc w:val="both"/>
        <w:rPr>
          <w:rFonts w:cs="Calibri"/>
        </w:rPr>
      </w:pPr>
      <w:r w:rsidRPr="00673DB7">
        <w:rPr>
          <w:rFonts w:cs="Calibri"/>
          <w:i/>
          <w:color w:val="19232D"/>
          <w:lang w:eastAsia="cs-CZ"/>
        </w:rPr>
        <w:t>Vnitřní:</w:t>
      </w:r>
      <w:r w:rsidRPr="00673DB7">
        <w:rPr>
          <w:rFonts w:cs="Calibri"/>
          <w:color w:val="19232D"/>
          <w:lang w:eastAsia="cs-CZ"/>
        </w:rPr>
        <w:t xml:space="preserve"> Organizační struktura, Výrobky, Technologické úkoly, Lidé.</w:t>
      </w:r>
    </w:p>
    <w:p w14:paraId="6E0DD557" w14:textId="77777777" w:rsidR="009D5A49" w:rsidRPr="00673DB7" w:rsidRDefault="009D5A49" w:rsidP="009D5A49">
      <w:pPr>
        <w:pStyle w:val="Odstavecseseznamem"/>
        <w:ind w:left="0"/>
        <w:rPr>
          <w:rFonts w:cs="Calibri"/>
        </w:rPr>
      </w:pPr>
    </w:p>
    <w:p w14:paraId="23BE6604" w14:textId="77777777" w:rsidR="009D5A49" w:rsidRPr="00673DB7" w:rsidRDefault="009D5A49" w:rsidP="009D5A49">
      <w:pPr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Vnitřní prostředí podniku</w:t>
      </w:r>
    </w:p>
    <w:p w14:paraId="5A5C6139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Úroveň managementu,</w:t>
      </w:r>
    </w:p>
    <w:p w14:paraId="250AA345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Úroveň zaměstnanců,</w:t>
      </w:r>
    </w:p>
    <w:p w14:paraId="2426668F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Organizační struktura podniku,</w:t>
      </w:r>
    </w:p>
    <w:p w14:paraId="70394347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Strategie podniku,</w:t>
      </w:r>
    </w:p>
    <w:p w14:paraId="5FD6F7FF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Technické vybavení,</w:t>
      </w:r>
    </w:p>
    <w:p w14:paraId="54F4DF8E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Výrobní technologie a postupy,</w:t>
      </w:r>
    </w:p>
    <w:p w14:paraId="51313655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Portfolio výrobků a služeb,</w:t>
      </w:r>
    </w:p>
    <w:p w14:paraId="67FE3C5C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Finanční zdroje podniku,</w:t>
      </w:r>
    </w:p>
    <w:p w14:paraId="1F5E7B54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Úroveň mezd,</w:t>
      </w:r>
    </w:p>
    <w:p w14:paraId="06ADFA32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Úroveň marketingu,</w:t>
      </w:r>
    </w:p>
    <w:p w14:paraId="5B63F7E0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Značka a jméno podniku,</w:t>
      </w:r>
    </w:p>
    <w:p w14:paraId="2529308E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Úroveň výzkumu a vývoje,</w:t>
      </w:r>
    </w:p>
    <w:p w14:paraId="38388BCE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Sociální prostředí podniku,</w:t>
      </w:r>
    </w:p>
    <w:p w14:paraId="6C583DF7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Vzdělávání pracovníků,</w:t>
      </w:r>
    </w:p>
    <w:p w14:paraId="104E2EA9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Informační a komunikační systémy,</w:t>
      </w:r>
    </w:p>
    <w:p w14:paraId="2260BBAC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Vnitropodnikové předpisy a normy,</w:t>
      </w:r>
    </w:p>
    <w:p w14:paraId="740C8AC0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Podniková kultura,</w:t>
      </w:r>
    </w:p>
    <w:p w14:paraId="2033DCB7" w14:textId="77777777" w:rsidR="009D5A49" w:rsidRPr="00673DB7" w:rsidRDefault="009D5A49" w:rsidP="009D5A49">
      <w:pPr>
        <w:numPr>
          <w:ilvl w:val="1"/>
          <w:numId w:val="9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Bezpečnost práce.</w:t>
      </w:r>
    </w:p>
    <w:p w14:paraId="00A720CA" w14:textId="77777777" w:rsidR="009D5A49" w:rsidRPr="00673DB7" w:rsidRDefault="009D5A49" w:rsidP="009D5A49">
      <w:p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</w:p>
    <w:p w14:paraId="26A1A3BA" w14:textId="77777777" w:rsidR="009D5A49" w:rsidRPr="00673DB7" w:rsidRDefault="009D5A49" w:rsidP="009D5A49">
      <w:pPr>
        <w:spacing w:before="100" w:after="100"/>
        <w:jc w:val="both"/>
        <w:rPr>
          <w:rFonts w:cs="Calibri"/>
        </w:rPr>
      </w:pPr>
      <w:r w:rsidRPr="00673DB7">
        <w:rPr>
          <w:rFonts w:eastAsia="Times New Roman" w:cs="Calibri"/>
          <w:bCs/>
          <w:lang w:eastAsia="cs-CZ"/>
        </w:rPr>
        <w:t>Vnější okolí podniku:</w:t>
      </w:r>
    </w:p>
    <w:p w14:paraId="2212CED8" w14:textId="77777777" w:rsidR="009D5A49" w:rsidRPr="00673DB7" w:rsidRDefault="009D5A49" w:rsidP="009D5A49">
      <w:pPr>
        <w:numPr>
          <w:ilvl w:val="1"/>
          <w:numId w:val="14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Globalizační a internacionalizační procesy,</w:t>
      </w:r>
    </w:p>
    <w:p w14:paraId="46960341" w14:textId="77777777" w:rsidR="009D5A49" w:rsidRPr="00673DB7" w:rsidRDefault="009D5A49" w:rsidP="009D5A49">
      <w:pPr>
        <w:numPr>
          <w:ilvl w:val="1"/>
          <w:numId w:val="14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Ekonomické tržní prostředí,</w:t>
      </w:r>
    </w:p>
    <w:p w14:paraId="0407C173" w14:textId="77777777" w:rsidR="009D5A49" w:rsidRPr="00673DB7" w:rsidRDefault="009D5A49" w:rsidP="009D5A49">
      <w:pPr>
        <w:numPr>
          <w:ilvl w:val="1"/>
          <w:numId w:val="14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Politické prostředí,</w:t>
      </w:r>
    </w:p>
    <w:p w14:paraId="38951911" w14:textId="77777777" w:rsidR="009D5A49" w:rsidRPr="00673DB7" w:rsidRDefault="009D5A49" w:rsidP="009D5A49">
      <w:pPr>
        <w:numPr>
          <w:ilvl w:val="1"/>
          <w:numId w:val="14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Výrobně-technologická oblast,</w:t>
      </w:r>
    </w:p>
    <w:p w14:paraId="4AEF752C" w14:textId="77777777" w:rsidR="009D5A49" w:rsidRPr="00673DB7" w:rsidRDefault="009D5A49" w:rsidP="009D5A49">
      <w:pPr>
        <w:numPr>
          <w:ilvl w:val="1"/>
          <w:numId w:val="14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Konkurenční síly,</w:t>
      </w:r>
    </w:p>
    <w:p w14:paraId="5F6EE436" w14:textId="77777777" w:rsidR="009D5A49" w:rsidRPr="00673DB7" w:rsidRDefault="009D5A49" w:rsidP="009D5A49">
      <w:pPr>
        <w:numPr>
          <w:ilvl w:val="1"/>
          <w:numId w:val="14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Změny potřeb zákazníků,</w:t>
      </w:r>
    </w:p>
    <w:p w14:paraId="3C35D38B" w14:textId="77777777" w:rsidR="009D5A49" w:rsidRPr="00673DB7" w:rsidRDefault="009D5A49" w:rsidP="009D5A49">
      <w:pPr>
        <w:numPr>
          <w:ilvl w:val="1"/>
          <w:numId w:val="14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lastRenderedPageBreak/>
        <w:t>Legislativně-právní oblast,</w:t>
      </w:r>
    </w:p>
    <w:p w14:paraId="780152DC" w14:textId="77777777" w:rsidR="009D5A49" w:rsidRPr="00673DB7" w:rsidRDefault="009D5A49" w:rsidP="009D5A49">
      <w:pPr>
        <w:numPr>
          <w:ilvl w:val="1"/>
          <w:numId w:val="14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Sociální oblast,</w:t>
      </w:r>
    </w:p>
    <w:p w14:paraId="65D4BA2E" w14:textId="77777777" w:rsidR="009D5A49" w:rsidRPr="00673DB7" w:rsidRDefault="009D5A49" w:rsidP="009D5A49">
      <w:pPr>
        <w:numPr>
          <w:ilvl w:val="1"/>
          <w:numId w:val="14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Demografický vývoj,</w:t>
      </w:r>
    </w:p>
    <w:p w14:paraId="2CF76515" w14:textId="77777777" w:rsidR="009D5A49" w:rsidRPr="00673DB7" w:rsidRDefault="009D5A49" w:rsidP="009D5A49">
      <w:pPr>
        <w:numPr>
          <w:ilvl w:val="1"/>
          <w:numId w:val="14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Oblast surovinové základny,</w:t>
      </w:r>
    </w:p>
    <w:p w14:paraId="29ED9F76" w14:textId="77777777" w:rsidR="009D5A49" w:rsidRPr="00673DB7" w:rsidRDefault="009D5A49" w:rsidP="009D5A49">
      <w:pPr>
        <w:numPr>
          <w:ilvl w:val="1"/>
          <w:numId w:val="14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Environmentální politika,</w:t>
      </w:r>
    </w:p>
    <w:p w14:paraId="1C0B3AA0" w14:textId="77777777" w:rsidR="009D5A49" w:rsidRPr="00673DB7" w:rsidRDefault="009D5A49" w:rsidP="009D5A49">
      <w:pPr>
        <w:numPr>
          <w:ilvl w:val="1"/>
          <w:numId w:val="14"/>
        </w:num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a jiné.</w:t>
      </w:r>
    </w:p>
    <w:p w14:paraId="75D4CDE9" w14:textId="77777777" w:rsidR="009D5A49" w:rsidRPr="00673DB7" w:rsidRDefault="009D5A49" w:rsidP="009D5A49">
      <w:pPr>
        <w:suppressAutoHyphens/>
        <w:autoSpaceDN w:val="0"/>
        <w:spacing w:before="100" w:after="100"/>
        <w:jc w:val="both"/>
        <w:rPr>
          <w:rFonts w:eastAsia="Times New Roman" w:cs="Calibri"/>
          <w:lang w:eastAsia="cs-CZ"/>
        </w:rPr>
      </w:pPr>
    </w:p>
    <w:p w14:paraId="7FEC4FEA" w14:textId="77777777" w:rsidR="009D5A49" w:rsidRPr="00673DB7" w:rsidRDefault="009D5A49" w:rsidP="009D5A49">
      <w:pPr>
        <w:suppressAutoHyphens/>
        <w:autoSpaceDN w:val="0"/>
        <w:spacing w:before="100" w:after="100"/>
        <w:jc w:val="both"/>
        <w:rPr>
          <w:rFonts w:eastAsia="Times New Roman" w:cs="Calibri"/>
          <w:i/>
          <w:lang w:eastAsia="cs-CZ"/>
        </w:rPr>
      </w:pPr>
      <w:r w:rsidRPr="00673DB7">
        <w:rPr>
          <w:rFonts w:eastAsia="Times New Roman" w:cs="Calibri"/>
          <w:i/>
          <w:lang w:eastAsia="cs-CZ"/>
        </w:rPr>
        <w:t>U predikce platí tyto zásady.</w:t>
      </w:r>
    </w:p>
    <w:p w14:paraId="27C2AFFB" w14:textId="77777777" w:rsidR="009D5A49" w:rsidRPr="00673DB7" w:rsidRDefault="009D5A49" w:rsidP="009D5A49">
      <w:pPr>
        <w:pStyle w:val="Odstavecseseznamem"/>
        <w:numPr>
          <w:ilvl w:val="0"/>
          <w:numId w:val="10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Na působení faktorů z vnějšího okolí podniku se může management podniku připravit a přijímat opatření ještě v období kdy nejsou jejich dopady zřetelné a prokazatelné.</w:t>
      </w:r>
    </w:p>
    <w:p w14:paraId="72E60047" w14:textId="77777777" w:rsidR="009D5A49" w:rsidRPr="00673DB7" w:rsidRDefault="009D5A49" w:rsidP="009D5A49">
      <w:pPr>
        <w:pStyle w:val="Odstavecseseznamem"/>
        <w:numPr>
          <w:ilvl w:val="0"/>
          <w:numId w:val="10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 xml:space="preserve">U těchto exogenních faktorů tedy vedení podniku reaguje na vznikající podnikové riziko. </w:t>
      </w:r>
    </w:p>
    <w:p w14:paraId="7CA5AAA9" w14:textId="77777777" w:rsidR="009D5A49" w:rsidRPr="00673DB7" w:rsidRDefault="009D5A49" w:rsidP="009D5A49">
      <w:pPr>
        <w:pStyle w:val="Odstavecseseznamem"/>
        <w:numPr>
          <w:ilvl w:val="0"/>
          <w:numId w:val="10"/>
        </w:numPr>
        <w:suppressAutoHyphens/>
        <w:autoSpaceDN w:val="0"/>
        <w:spacing w:before="100" w:after="10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Jinak je tomu u vnitřního podnikového prostředí, které jednak reaguje na dopady faktoru z vnějšího okolí, a změny v tomto případě má podnikové vedení plně v kompetenci a v režii.</w:t>
      </w:r>
    </w:p>
    <w:p w14:paraId="7A9113CC" w14:textId="77777777" w:rsidR="009D5A49" w:rsidRPr="00673DB7" w:rsidRDefault="009D5A49" w:rsidP="009D5A49">
      <w:pPr>
        <w:pStyle w:val="Odstavecseseznamem"/>
        <w:numPr>
          <w:ilvl w:val="0"/>
          <w:numId w:val="10"/>
        </w:numPr>
        <w:suppressAutoHyphens/>
        <w:autoSpaceDN w:val="0"/>
        <w:spacing w:after="0" w:line="276" w:lineRule="auto"/>
        <w:contextualSpacing w:val="0"/>
        <w:jc w:val="both"/>
        <w:rPr>
          <w:rFonts w:cs="Calibri"/>
        </w:rPr>
      </w:pPr>
      <w:r w:rsidRPr="00673DB7">
        <w:rPr>
          <w:rFonts w:cs="Calibri"/>
        </w:rPr>
        <w:t>Predikce optimálního stavu vnitřních zdrojů se realizovala na vybraném souboru manažerů testovaných podniků.</w:t>
      </w:r>
    </w:p>
    <w:p w14:paraId="2AB1636F" w14:textId="77777777" w:rsidR="009D5A49" w:rsidRPr="00673DB7" w:rsidRDefault="009D5A49" w:rsidP="009D5A49">
      <w:pPr>
        <w:pStyle w:val="Odstavecseseznamem"/>
        <w:numPr>
          <w:ilvl w:val="0"/>
          <w:numId w:val="10"/>
        </w:numPr>
        <w:suppressAutoHyphens/>
        <w:autoSpaceDN w:val="0"/>
        <w:spacing w:after="0" w:line="276" w:lineRule="auto"/>
        <w:contextualSpacing w:val="0"/>
        <w:jc w:val="both"/>
        <w:rPr>
          <w:rFonts w:cs="Calibri"/>
        </w:rPr>
      </w:pPr>
      <w:r w:rsidRPr="00673DB7">
        <w:rPr>
          <w:rFonts w:cs="Calibri"/>
        </w:rPr>
        <w:t>Soubor vybraných manažerů přikládá vnitřním zdrojům v rámci predikce budoucnosti převážně střední stupeň významnosti, a to téměř shodně v obou sledovaných sektorech.</w:t>
      </w:r>
    </w:p>
    <w:p w14:paraId="72406992" w14:textId="77777777" w:rsidR="009D5A49" w:rsidRPr="00673DB7" w:rsidRDefault="009D5A49" w:rsidP="009D5A49">
      <w:pPr>
        <w:pStyle w:val="Odstavecseseznamem"/>
        <w:numPr>
          <w:ilvl w:val="0"/>
          <w:numId w:val="10"/>
        </w:numPr>
        <w:suppressAutoHyphens/>
        <w:autoSpaceDN w:val="0"/>
        <w:spacing w:after="0" w:line="276" w:lineRule="auto"/>
        <w:contextualSpacing w:val="0"/>
        <w:jc w:val="both"/>
        <w:rPr>
          <w:rFonts w:cs="Calibri"/>
        </w:rPr>
      </w:pPr>
      <w:r w:rsidRPr="00673DB7">
        <w:rPr>
          <w:rFonts w:cs="Calibri"/>
        </w:rPr>
        <w:t xml:space="preserve">Z hlediska predikce podnikových rizik vyplývající ze změn ve vnějším okolí podniku lze za dominantní považovat: </w:t>
      </w:r>
    </w:p>
    <w:p w14:paraId="2C1EF47C" w14:textId="77777777" w:rsidR="009D5A49" w:rsidRPr="00673DB7" w:rsidRDefault="009D5A49" w:rsidP="009D5A49">
      <w:pPr>
        <w:pStyle w:val="Odstavecseseznamem"/>
        <w:rPr>
          <w:rFonts w:eastAsia="Times New Roman" w:cs="Calibri"/>
          <w:lang w:eastAsia="cs-CZ"/>
        </w:rPr>
      </w:pPr>
    </w:p>
    <w:p w14:paraId="3A9608FF" w14:textId="77777777" w:rsidR="009D5A49" w:rsidRPr="00673DB7" w:rsidRDefault="009D5A49" w:rsidP="009D5A49">
      <w:pPr>
        <w:pStyle w:val="Odstavecseseznamem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 xml:space="preserve">Globalizační a internacionalizační procesy, </w:t>
      </w:r>
    </w:p>
    <w:p w14:paraId="28E3F136" w14:textId="77777777" w:rsidR="009D5A49" w:rsidRPr="00673DB7" w:rsidRDefault="009D5A49" w:rsidP="009D5A49">
      <w:pPr>
        <w:pStyle w:val="Odstavecseseznamem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 xml:space="preserve">Konkurenční síly, </w:t>
      </w:r>
    </w:p>
    <w:p w14:paraId="4BA95E89" w14:textId="77777777" w:rsidR="009D5A49" w:rsidRPr="00673DB7" w:rsidRDefault="009D5A49" w:rsidP="009D5A49">
      <w:pPr>
        <w:pStyle w:val="Odstavecseseznamem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 xml:space="preserve">Změny potřeb zákazníků, </w:t>
      </w:r>
    </w:p>
    <w:p w14:paraId="3B9C9745" w14:textId="77777777" w:rsidR="009D5A49" w:rsidRPr="00673DB7" w:rsidRDefault="009D5A49" w:rsidP="009D5A49">
      <w:pPr>
        <w:pStyle w:val="Odstavecseseznamem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 xml:space="preserve">Demografický vývoj, </w:t>
      </w:r>
    </w:p>
    <w:p w14:paraId="01640252" w14:textId="77777777" w:rsidR="009D5A49" w:rsidRPr="00673DB7" w:rsidRDefault="009D5A49" w:rsidP="009D5A49">
      <w:pPr>
        <w:pStyle w:val="Odstavecseseznamem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 xml:space="preserve">Oblast surovinové základny </w:t>
      </w:r>
    </w:p>
    <w:p w14:paraId="74B9A581" w14:textId="77777777" w:rsidR="009D5A49" w:rsidRPr="00673DB7" w:rsidRDefault="009D5A49" w:rsidP="009D5A49">
      <w:pPr>
        <w:pStyle w:val="Odstavecseseznamem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A environmentální politika.</w:t>
      </w:r>
    </w:p>
    <w:p w14:paraId="110F3C08" w14:textId="77777777" w:rsidR="009D5A49" w:rsidRPr="00673DB7" w:rsidRDefault="009D5A49" w:rsidP="009D5A49">
      <w:pPr>
        <w:spacing w:after="0"/>
        <w:jc w:val="both"/>
        <w:rPr>
          <w:rFonts w:eastAsia="Times New Roman" w:cs="Calibri"/>
          <w:lang w:eastAsia="cs-CZ"/>
        </w:rPr>
      </w:pPr>
    </w:p>
    <w:p w14:paraId="107EA8CB" w14:textId="77777777" w:rsidR="009D5A49" w:rsidRPr="00673DB7" w:rsidRDefault="009D5A49" w:rsidP="009D5A49">
      <w:pPr>
        <w:pStyle w:val="Odstavecseseznamem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jc w:val="both"/>
        <w:rPr>
          <w:rFonts w:cs="Calibri"/>
        </w:rPr>
      </w:pPr>
      <w:r w:rsidRPr="00673DB7">
        <w:rPr>
          <w:rFonts w:eastAsia="Times New Roman" w:cs="Calibri"/>
          <w:lang w:eastAsia="cs-CZ"/>
        </w:rPr>
        <w:t xml:space="preserve">U vnitřního prostředí se v rámci rozsáhlého výzkumu Katedry managementu z hlediska významnosti faktorů vnitřního prostředí v budoucím období </w:t>
      </w:r>
      <w:r w:rsidRPr="00673DB7">
        <w:rPr>
          <w:rFonts w:cs="Calibri"/>
        </w:rPr>
        <w:t>u sektoru výroby a průmyslu náleží:</w:t>
      </w:r>
    </w:p>
    <w:p w14:paraId="661E3BD3" w14:textId="77777777" w:rsidR="009D5A49" w:rsidRPr="00673DB7" w:rsidRDefault="009D5A49" w:rsidP="009D5A49">
      <w:pPr>
        <w:pStyle w:val="Odstavecseseznamem"/>
        <w:spacing w:after="0"/>
        <w:jc w:val="both"/>
        <w:rPr>
          <w:rFonts w:cs="Calibri"/>
        </w:rPr>
      </w:pPr>
    </w:p>
    <w:p w14:paraId="30EA03D1" w14:textId="77777777" w:rsidR="009D5A49" w:rsidRPr="00673DB7" w:rsidRDefault="009D5A49" w:rsidP="009D5A49">
      <w:pPr>
        <w:pStyle w:val="Odstavecseseznamem"/>
        <w:numPr>
          <w:ilvl w:val="0"/>
          <w:numId w:val="13"/>
        </w:numPr>
        <w:suppressAutoHyphens/>
        <w:autoSpaceDN w:val="0"/>
        <w:spacing w:after="0" w:line="276" w:lineRule="auto"/>
        <w:contextualSpacing w:val="0"/>
        <w:jc w:val="both"/>
        <w:rPr>
          <w:rFonts w:cs="Calibri"/>
        </w:rPr>
      </w:pPr>
      <w:r w:rsidRPr="00673DB7">
        <w:rPr>
          <w:rFonts w:cs="Calibri"/>
        </w:rPr>
        <w:t xml:space="preserve">Úroveň managementu, </w:t>
      </w:r>
    </w:p>
    <w:p w14:paraId="1CA12D90" w14:textId="77777777" w:rsidR="009D5A49" w:rsidRPr="00673DB7" w:rsidRDefault="009D5A49" w:rsidP="009D5A49">
      <w:pPr>
        <w:pStyle w:val="Odstavecseseznamem"/>
        <w:numPr>
          <w:ilvl w:val="0"/>
          <w:numId w:val="13"/>
        </w:numPr>
        <w:suppressAutoHyphens/>
        <w:autoSpaceDN w:val="0"/>
        <w:spacing w:after="0" w:line="276" w:lineRule="auto"/>
        <w:contextualSpacing w:val="0"/>
        <w:jc w:val="both"/>
        <w:rPr>
          <w:rFonts w:cs="Calibri"/>
        </w:rPr>
      </w:pPr>
      <w:r w:rsidRPr="00673DB7">
        <w:rPr>
          <w:rFonts w:cs="Calibri"/>
        </w:rPr>
        <w:t xml:space="preserve">Značka a jméno podniku, </w:t>
      </w:r>
    </w:p>
    <w:p w14:paraId="6E5DAF79" w14:textId="77777777" w:rsidR="009D5A49" w:rsidRPr="00673DB7" w:rsidRDefault="009D5A49" w:rsidP="009D5A49">
      <w:pPr>
        <w:pStyle w:val="Odstavecseseznamem"/>
        <w:numPr>
          <w:ilvl w:val="0"/>
          <w:numId w:val="13"/>
        </w:numPr>
        <w:suppressAutoHyphens/>
        <w:autoSpaceDN w:val="0"/>
        <w:spacing w:after="0" w:line="276" w:lineRule="auto"/>
        <w:contextualSpacing w:val="0"/>
        <w:jc w:val="both"/>
        <w:rPr>
          <w:rFonts w:cs="Calibri"/>
        </w:rPr>
      </w:pPr>
      <w:r w:rsidRPr="00673DB7">
        <w:rPr>
          <w:rFonts w:cs="Calibri"/>
        </w:rPr>
        <w:t xml:space="preserve">Podniková strategie, </w:t>
      </w:r>
    </w:p>
    <w:p w14:paraId="1B219DB6" w14:textId="77777777" w:rsidR="009D5A49" w:rsidRPr="00673DB7" w:rsidRDefault="009D5A49" w:rsidP="009D5A49">
      <w:pPr>
        <w:pStyle w:val="Odstavecseseznamem"/>
        <w:numPr>
          <w:ilvl w:val="0"/>
          <w:numId w:val="13"/>
        </w:numPr>
        <w:suppressAutoHyphens/>
        <w:autoSpaceDN w:val="0"/>
        <w:spacing w:after="0" w:line="276" w:lineRule="auto"/>
        <w:contextualSpacing w:val="0"/>
        <w:jc w:val="both"/>
        <w:rPr>
          <w:rFonts w:cs="Calibri"/>
        </w:rPr>
      </w:pPr>
      <w:r w:rsidRPr="00673DB7">
        <w:rPr>
          <w:rFonts w:cs="Calibri"/>
        </w:rPr>
        <w:t>Úroveň marketingu</w:t>
      </w:r>
    </w:p>
    <w:p w14:paraId="73AC0031" w14:textId="77777777" w:rsidR="009D5A49" w:rsidRPr="00673DB7" w:rsidRDefault="009D5A49" w:rsidP="009D5A49">
      <w:pPr>
        <w:pStyle w:val="Odstavecseseznamem"/>
        <w:numPr>
          <w:ilvl w:val="0"/>
          <w:numId w:val="13"/>
        </w:numPr>
        <w:suppressAutoHyphens/>
        <w:autoSpaceDN w:val="0"/>
        <w:spacing w:after="0" w:line="276" w:lineRule="auto"/>
        <w:contextualSpacing w:val="0"/>
        <w:jc w:val="both"/>
        <w:rPr>
          <w:rFonts w:cs="Calibri"/>
        </w:rPr>
      </w:pPr>
      <w:r w:rsidRPr="00673DB7">
        <w:rPr>
          <w:rFonts w:cs="Calibri"/>
        </w:rPr>
        <w:t xml:space="preserve">Finanční zdroje. </w:t>
      </w:r>
    </w:p>
    <w:p w14:paraId="28905708" w14:textId="77777777" w:rsidR="009D5A49" w:rsidRPr="00673DB7" w:rsidRDefault="009D5A49" w:rsidP="009D5A49">
      <w:pPr>
        <w:spacing w:after="0"/>
        <w:jc w:val="both"/>
        <w:rPr>
          <w:rFonts w:cs="Calibri"/>
        </w:rPr>
      </w:pPr>
    </w:p>
    <w:p w14:paraId="446791DE" w14:textId="77777777" w:rsidR="009D5A49" w:rsidRPr="00673DB7" w:rsidRDefault="009D5A49" w:rsidP="009D5A49">
      <w:pPr>
        <w:pStyle w:val="Default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i/>
          <w:iCs/>
          <w:sz w:val="22"/>
          <w:szCs w:val="22"/>
        </w:rPr>
        <w:t xml:space="preserve">Naší největší hrozbou není to, že míříme k příliš vysokým cílům a nedosáhneme jich, ale to, že míříme k cílům až příliš nízkým a těch také dosahujeme. </w:t>
      </w:r>
    </w:p>
    <w:p w14:paraId="5453C1D2" w14:textId="77777777" w:rsidR="009D5A49" w:rsidRPr="00673DB7" w:rsidRDefault="009D5A49" w:rsidP="009D5A49">
      <w:pPr>
        <w:pStyle w:val="Default"/>
        <w:rPr>
          <w:rFonts w:ascii="Calibri" w:hAnsi="Calibri" w:cs="Calibri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>Michelangelo</w:t>
      </w:r>
    </w:p>
    <w:p w14:paraId="2C3F7CC4" w14:textId="77777777" w:rsidR="009D5A49" w:rsidRPr="00673DB7" w:rsidRDefault="009D5A49" w:rsidP="009D5A49">
      <w:pPr>
        <w:pStyle w:val="Default"/>
        <w:rPr>
          <w:rFonts w:ascii="Calibri" w:hAnsi="Calibri" w:cs="Calibri"/>
          <w:sz w:val="22"/>
          <w:szCs w:val="22"/>
        </w:rPr>
      </w:pPr>
    </w:p>
    <w:p w14:paraId="1AA23F20" w14:textId="77777777" w:rsidR="009D5A49" w:rsidRPr="00673DB7" w:rsidRDefault="009D5A49" w:rsidP="009D5A49">
      <w:pPr>
        <w:pStyle w:val="Default"/>
        <w:rPr>
          <w:rFonts w:ascii="Calibri" w:hAnsi="Calibri" w:cs="Calibri"/>
          <w:i/>
          <w:sz w:val="22"/>
          <w:szCs w:val="22"/>
        </w:rPr>
      </w:pPr>
      <w:r w:rsidRPr="00673DB7">
        <w:rPr>
          <w:rFonts w:ascii="Calibri" w:hAnsi="Calibri" w:cs="Calibri"/>
          <w:i/>
          <w:sz w:val="22"/>
          <w:szCs w:val="22"/>
        </w:rPr>
        <w:t xml:space="preserve">Doporučení přednášejícího: </w:t>
      </w:r>
    </w:p>
    <w:p w14:paraId="5D5C72E2" w14:textId="77777777" w:rsidR="009D5A49" w:rsidRPr="00673DB7" w:rsidRDefault="009D5A49" w:rsidP="009D5A49">
      <w:pPr>
        <w:pStyle w:val="Default"/>
        <w:rPr>
          <w:rFonts w:ascii="Calibri" w:hAnsi="Calibri" w:cs="Calibri"/>
          <w:i/>
          <w:sz w:val="22"/>
          <w:szCs w:val="22"/>
        </w:rPr>
      </w:pPr>
    </w:p>
    <w:p w14:paraId="3EB03426" w14:textId="77777777" w:rsidR="009D5A49" w:rsidRPr="00673DB7" w:rsidRDefault="009D5A49" w:rsidP="009D5A4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sz w:val="22"/>
          <w:szCs w:val="22"/>
        </w:rPr>
        <w:t xml:space="preserve">V létě roku 1994 napsal John P. </w:t>
      </w:r>
      <w:proofErr w:type="spellStart"/>
      <w:r w:rsidRPr="00673DB7">
        <w:rPr>
          <w:rFonts w:ascii="Calibri" w:hAnsi="Calibri" w:cs="Calibri"/>
          <w:sz w:val="22"/>
          <w:szCs w:val="22"/>
        </w:rPr>
        <w:t>Kotter</w:t>
      </w:r>
      <w:proofErr w:type="spellEnd"/>
      <w:r w:rsidRPr="00673DB7">
        <w:rPr>
          <w:rFonts w:ascii="Calibri" w:hAnsi="Calibri" w:cs="Calibri"/>
          <w:sz w:val="22"/>
          <w:szCs w:val="22"/>
        </w:rPr>
        <w:t xml:space="preserve"> pro časopis Harvard Business </w:t>
      </w:r>
      <w:proofErr w:type="spellStart"/>
      <w:r w:rsidRPr="00673DB7">
        <w:rPr>
          <w:rFonts w:ascii="Calibri" w:hAnsi="Calibri" w:cs="Calibri"/>
          <w:sz w:val="22"/>
          <w:szCs w:val="22"/>
        </w:rPr>
        <w:t>Review</w:t>
      </w:r>
      <w:proofErr w:type="spellEnd"/>
      <w:r w:rsidRPr="00673DB7">
        <w:rPr>
          <w:rFonts w:ascii="Calibri" w:hAnsi="Calibri" w:cs="Calibri"/>
          <w:sz w:val="22"/>
          <w:szCs w:val="22"/>
        </w:rPr>
        <w:t xml:space="preserve"> článek nazvaný „Vedení změny: Proč pokusy o transformaci selhávají“. Text vzbudil obrovskou pozornost a okamžitě se vyhoupl do čela žebříčku reprintů HBR. Úspěch textu podnítil vydání knihy, která je považovaná za jednu z klíčových publikací historie manažerské literatury. </w:t>
      </w:r>
    </w:p>
    <w:p w14:paraId="08CD6CCD" w14:textId="77777777" w:rsidR="009D5A49" w:rsidRPr="00673DB7" w:rsidRDefault="009D5A49" w:rsidP="009D5A4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BD3A387" w14:textId="7639EF1B" w:rsidR="009D5A49" w:rsidRPr="00673DB7" w:rsidRDefault="009D5A49" w:rsidP="009D5A4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673DB7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60D069BE" wp14:editId="5A2C72B8">
            <wp:extent cx="2343150" cy="3219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F4766" w14:textId="77777777" w:rsidR="005E33EA" w:rsidRDefault="005E33EA"/>
    <w:sectPr w:rsidR="005E3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DEF"/>
    <w:multiLevelType w:val="multilevel"/>
    <w:tmpl w:val="B4F0E8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/>
        <w:i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E641342"/>
    <w:multiLevelType w:val="multilevel"/>
    <w:tmpl w:val="E27073A8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21BB2C9E"/>
    <w:multiLevelType w:val="multilevel"/>
    <w:tmpl w:val="BF4C57AA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1534AE"/>
    <w:multiLevelType w:val="hybridMultilevel"/>
    <w:tmpl w:val="80920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46F3D"/>
    <w:multiLevelType w:val="multilevel"/>
    <w:tmpl w:val="9880FDB6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3441519A"/>
    <w:multiLevelType w:val="hybridMultilevel"/>
    <w:tmpl w:val="9B602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F6277"/>
    <w:multiLevelType w:val="hybridMultilevel"/>
    <w:tmpl w:val="8E888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357EC"/>
    <w:multiLevelType w:val="multilevel"/>
    <w:tmpl w:val="7CF414B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6950084"/>
    <w:multiLevelType w:val="multilevel"/>
    <w:tmpl w:val="FED6E2A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/>
        <w:i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4C146A62"/>
    <w:multiLevelType w:val="hybridMultilevel"/>
    <w:tmpl w:val="97FC0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33B5E"/>
    <w:multiLevelType w:val="hybridMultilevel"/>
    <w:tmpl w:val="80EA1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E6B69"/>
    <w:multiLevelType w:val="hybridMultilevel"/>
    <w:tmpl w:val="5066A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43128"/>
    <w:multiLevelType w:val="hybridMultilevel"/>
    <w:tmpl w:val="27E019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24998"/>
    <w:multiLevelType w:val="multilevel"/>
    <w:tmpl w:val="31EEDDA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FC32353"/>
    <w:multiLevelType w:val="hybridMultilevel"/>
    <w:tmpl w:val="D87EE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03763">
    <w:abstractNumId w:val="9"/>
  </w:num>
  <w:num w:numId="2" w16cid:durableId="993487232">
    <w:abstractNumId w:val="3"/>
  </w:num>
  <w:num w:numId="3" w16cid:durableId="708645738">
    <w:abstractNumId w:val="14"/>
  </w:num>
  <w:num w:numId="4" w16cid:durableId="2063820525">
    <w:abstractNumId w:val="6"/>
  </w:num>
  <w:num w:numId="5" w16cid:durableId="1698120528">
    <w:abstractNumId w:val="10"/>
  </w:num>
  <w:num w:numId="6" w16cid:durableId="569342557">
    <w:abstractNumId w:val="12"/>
  </w:num>
  <w:num w:numId="7" w16cid:durableId="617879856">
    <w:abstractNumId w:val="5"/>
  </w:num>
  <w:num w:numId="8" w16cid:durableId="7930633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2705672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6232808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832068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430215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9607429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276764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91850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49"/>
    <w:rsid w:val="005E33EA"/>
    <w:rsid w:val="009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1799"/>
  <w15:chartTrackingRefBased/>
  <w15:docId w15:val="{8667A63F-8005-443D-84A3-BA5653B4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A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5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D5A49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1363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Dalibor</dc:creator>
  <cp:keywords/>
  <dc:description/>
  <cp:lastModifiedBy>Zeman Dalibor</cp:lastModifiedBy>
  <cp:revision>1</cp:revision>
  <dcterms:created xsi:type="dcterms:W3CDTF">2022-07-12T13:05:00Z</dcterms:created>
  <dcterms:modified xsi:type="dcterms:W3CDTF">2022-07-12T13:06:00Z</dcterms:modified>
</cp:coreProperties>
</file>