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362E" w14:textId="77777777" w:rsidR="008B1F21" w:rsidRDefault="008B1F21" w:rsidP="008B1F21">
      <w:pPr>
        <w:pStyle w:val="Nadpis1"/>
        <w:jc w:val="center"/>
        <w:rPr>
          <w:shd w:val="clear" w:color="auto" w:fill="FFFFFF"/>
        </w:rPr>
      </w:pPr>
      <w:r>
        <w:rPr>
          <w:shd w:val="clear" w:color="auto" w:fill="FFFFFF"/>
        </w:rPr>
        <w:t xml:space="preserve">4. téma </w:t>
      </w:r>
    </w:p>
    <w:p w14:paraId="6E977D4B" w14:textId="77777777" w:rsidR="008B1F21" w:rsidRDefault="008B1F21" w:rsidP="008B1F21">
      <w:pPr>
        <w:pStyle w:val="Nadpis1"/>
        <w:jc w:val="center"/>
        <w:rPr>
          <w:shd w:val="clear" w:color="auto" w:fill="FFFFFF"/>
        </w:rPr>
      </w:pPr>
      <w:r>
        <w:rPr>
          <w:shd w:val="clear" w:color="auto" w:fill="FFFFFF"/>
        </w:rPr>
        <w:t>Statické metody hodnocení investic</w:t>
      </w:r>
    </w:p>
    <w:p w14:paraId="44AE8661" w14:textId="77777777" w:rsidR="008B1F21" w:rsidRPr="00132F1A" w:rsidRDefault="008B1F21" w:rsidP="008B1F21">
      <w:pPr>
        <w:pStyle w:val="Nadpis2"/>
        <w:numPr>
          <w:ilvl w:val="0"/>
          <w:numId w:val="26"/>
        </w:numPr>
        <w:ind w:left="720"/>
        <w:rPr>
          <w:b/>
          <w:bCs/>
        </w:rPr>
      </w:pPr>
      <w:r w:rsidRPr="00132F1A">
        <w:rPr>
          <w:b/>
          <w:bCs/>
        </w:rPr>
        <w:t xml:space="preserve">Úvod </w:t>
      </w:r>
    </w:p>
    <w:p w14:paraId="766612DF" w14:textId="77777777" w:rsidR="008B1F21" w:rsidRDefault="008B1F21" w:rsidP="008B1F21">
      <w:pPr>
        <w:spacing w:line="360" w:lineRule="auto"/>
        <w:ind w:firstLine="708"/>
        <w:jc w:val="both"/>
        <w:rPr>
          <w:rFonts w:cstheme="minorHAnsi"/>
          <w:sz w:val="24"/>
          <w:szCs w:val="24"/>
        </w:rPr>
      </w:pPr>
      <w:r>
        <w:rPr>
          <w:rFonts w:cstheme="minorHAnsi"/>
          <w:sz w:val="24"/>
          <w:szCs w:val="24"/>
        </w:rPr>
        <w:t xml:space="preserve">Statické metody se využívají pro vyřazení investic, které jsou ztrátové pro podnik, díky jejich rychlé a dobré orientaci. Ve vyspělejších ekonomických zemích se tyto metody nevyužívají za směrodatné, jelikož nezohledňují faktor času. </w:t>
      </w:r>
      <w:r w:rsidRPr="001E352F">
        <w:rPr>
          <w:rFonts w:cstheme="minorHAnsi"/>
          <w:sz w:val="24"/>
          <w:szCs w:val="24"/>
        </w:rPr>
        <w:t>Statické metody se využívají v případě, kdy se na investiční projekt nahlíží poprvé. Tyto metody na rozdíl od dynamických metod nerespektují faktor času, a proto se dají použít v případě, že faktor času nemá podstatný vliv v hodnocení investičního projektu. Velkou výhodou je jejich jednoduchost. Využívají se v případě, kdy je ekonomická životnost investice krátká a diskontní sazba nízká. Čím vyšší je diskontní sazba, tím výraznější je rozdíl mezi budoucí a současnou hodnoto</w:t>
      </w:r>
      <w:r>
        <w:rPr>
          <w:rFonts w:cstheme="minorHAnsi"/>
          <w:sz w:val="24"/>
          <w:szCs w:val="24"/>
        </w:rPr>
        <w:t xml:space="preserve">u. </w:t>
      </w:r>
      <w:r w:rsidRPr="001E352F">
        <w:rPr>
          <w:rFonts w:cstheme="minorHAnsi"/>
          <w:sz w:val="24"/>
          <w:szCs w:val="24"/>
        </w:rPr>
        <w:t>Statické metody hodnocení investic se využívají k prvotní k</w:t>
      </w:r>
      <w:r>
        <w:rPr>
          <w:rFonts w:cstheme="minorHAnsi"/>
          <w:sz w:val="24"/>
          <w:szCs w:val="24"/>
        </w:rPr>
        <w:t>al</w:t>
      </w:r>
      <w:r w:rsidRPr="001E352F">
        <w:rPr>
          <w:rFonts w:cstheme="minorHAnsi"/>
          <w:sz w:val="24"/>
          <w:szCs w:val="24"/>
        </w:rPr>
        <w:t xml:space="preserve">kulaci. </w:t>
      </w:r>
    </w:p>
    <w:p w14:paraId="44EEFAD5" w14:textId="77777777" w:rsidR="008B1F21" w:rsidRPr="009857C7" w:rsidRDefault="008B1F21" w:rsidP="008B1F21">
      <w:pPr>
        <w:pStyle w:val="Nadpis2"/>
        <w:numPr>
          <w:ilvl w:val="0"/>
          <w:numId w:val="26"/>
        </w:numPr>
        <w:ind w:left="720"/>
        <w:rPr>
          <w:b/>
          <w:bCs/>
        </w:rPr>
      </w:pPr>
      <w:r w:rsidRPr="009857C7">
        <w:rPr>
          <w:b/>
          <w:bCs/>
        </w:rPr>
        <w:t>Druhy statických metod</w:t>
      </w:r>
    </w:p>
    <w:p w14:paraId="1F19A71B" w14:textId="77777777" w:rsidR="008B1F21" w:rsidRPr="00C70785" w:rsidRDefault="008B1F21" w:rsidP="008B1F21">
      <w:pPr>
        <w:spacing w:line="360" w:lineRule="auto"/>
        <w:jc w:val="both"/>
        <w:rPr>
          <w:rFonts w:cstheme="minorHAnsi"/>
          <w:sz w:val="24"/>
          <w:szCs w:val="24"/>
        </w:rPr>
      </w:pPr>
      <w:r w:rsidRPr="00C70785">
        <w:rPr>
          <w:rFonts w:cstheme="minorHAnsi"/>
          <w:sz w:val="24"/>
          <w:szCs w:val="24"/>
        </w:rPr>
        <w:t>Statické metody:</w:t>
      </w:r>
    </w:p>
    <w:p w14:paraId="362C7599" w14:textId="77777777" w:rsidR="008B1F21" w:rsidRPr="00C70785" w:rsidRDefault="008B1F21" w:rsidP="008B1F21">
      <w:pPr>
        <w:pStyle w:val="Odstavecseseznamem"/>
        <w:numPr>
          <w:ilvl w:val="0"/>
          <w:numId w:val="24"/>
        </w:numPr>
        <w:spacing w:line="360" w:lineRule="auto"/>
        <w:jc w:val="both"/>
        <w:rPr>
          <w:rFonts w:cstheme="minorHAnsi"/>
          <w:sz w:val="24"/>
          <w:szCs w:val="24"/>
        </w:rPr>
      </w:pPr>
      <w:r w:rsidRPr="00C70785">
        <w:rPr>
          <w:rFonts w:cstheme="minorHAnsi"/>
          <w:sz w:val="24"/>
          <w:szCs w:val="24"/>
        </w:rPr>
        <w:t>Doba návratnosti investic</w:t>
      </w:r>
    </w:p>
    <w:p w14:paraId="62A850A9" w14:textId="77777777" w:rsidR="008B1F21" w:rsidRPr="00C70785" w:rsidRDefault="008B1F21" w:rsidP="008B1F21">
      <w:pPr>
        <w:pStyle w:val="Odstavecseseznamem"/>
        <w:numPr>
          <w:ilvl w:val="0"/>
          <w:numId w:val="24"/>
        </w:numPr>
        <w:spacing w:line="360" w:lineRule="auto"/>
        <w:jc w:val="both"/>
        <w:rPr>
          <w:rFonts w:cstheme="minorHAnsi"/>
          <w:sz w:val="24"/>
          <w:szCs w:val="24"/>
        </w:rPr>
      </w:pPr>
      <w:r w:rsidRPr="00C70785">
        <w:rPr>
          <w:rFonts w:cstheme="minorHAnsi"/>
          <w:sz w:val="24"/>
          <w:szCs w:val="24"/>
        </w:rPr>
        <w:t xml:space="preserve">Průměrná roční výnosnost </w:t>
      </w:r>
    </w:p>
    <w:p w14:paraId="6E2B5AAE" w14:textId="77777777" w:rsidR="008B1F21" w:rsidRPr="00C70785" w:rsidRDefault="008B1F21" w:rsidP="008B1F21">
      <w:pPr>
        <w:pStyle w:val="Odstavecseseznamem"/>
        <w:numPr>
          <w:ilvl w:val="0"/>
          <w:numId w:val="24"/>
        </w:numPr>
        <w:spacing w:line="360" w:lineRule="auto"/>
        <w:jc w:val="both"/>
        <w:rPr>
          <w:rFonts w:cstheme="minorHAnsi"/>
          <w:sz w:val="24"/>
          <w:szCs w:val="24"/>
        </w:rPr>
      </w:pPr>
      <w:r w:rsidRPr="00C70785">
        <w:rPr>
          <w:rFonts w:cstheme="minorHAnsi"/>
          <w:sz w:val="24"/>
          <w:szCs w:val="24"/>
        </w:rPr>
        <w:t>Průměrné roční náklady</w:t>
      </w:r>
    </w:p>
    <w:p w14:paraId="1042A5A6" w14:textId="77777777" w:rsidR="008B1F21" w:rsidRPr="00C70785" w:rsidRDefault="008B1F21" w:rsidP="008B1F21">
      <w:pPr>
        <w:pStyle w:val="Odstavecseseznamem"/>
        <w:numPr>
          <w:ilvl w:val="1"/>
          <w:numId w:val="26"/>
        </w:numPr>
        <w:spacing w:line="360" w:lineRule="auto"/>
        <w:jc w:val="both"/>
        <w:rPr>
          <w:rFonts w:cstheme="minorHAnsi"/>
          <w:b/>
          <w:bCs/>
          <w:sz w:val="24"/>
          <w:szCs w:val="24"/>
        </w:rPr>
      </w:pPr>
      <w:r w:rsidRPr="00C70785">
        <w:rPr>
          <w:rFonts w:cstheme="minorHAnsi"/>
          <w:b/>
          <w:bCs/>
          <w:sz w:val="24"/>
          <w:szCs w:val="24"/>
        </w:rPr>
        <w:t xml:space="preserve">Doba návratnosti investic  </w:t>
      </w:r>
    </w:p>
    <w:p w14:paraId="67D97C16" w14:textId="77777777" w:rsidR="008B1F21" w:rsidRPr="00C70785" w:rsidRDefault="008B1F21" w:rsidP="008B1F21">
      <w:pPr>
        <w:spacing w:line="360" w:lineRule="auto"/>
        <w:ind w:firstLine="708"/>
        <w:jc w:val="both"/>
        <w:rPr>
          <w:rFonts w:cstheme="minorHAnsi"/>
          <w:b/>
          <w:bCs/>
          <w:sz w:val="24"/>
          <w:szCs w:val="24"/>
        </w:rPr>
      </w:pPr>
      <w:r w:rsidRPr="00C70785">
        <w:rPr>
          <w:rFonts w:cstheme="minorHAnsi"/>
          <w:sz w:val="24"/>
          <w:szCs w:val="24"/>
        </w:rPr>
        <w:t>Anglická zkratka PBP (Playback period). Ze všech statistických metod je nejčastěji užívaná. Udává počet let, za kterých se vrátí kapitálový výdaj, který se do investice investoval.  Základním kritériem doby návratnosti investice je, čím je doba návratnosti nižší, tím je investiční projekt lepší. Jde tedy o hodnocení očekávané likvidity než o samotný projekt. Doba návratnosti se dělí na prostou dobu návratnosti a průměrnou dobu návratnosti.</w:t>
      </w:r>
    </w:p>
    <w:p w14:paraId="1D7A4D55" w14:textId="77777777" w:rsidR="008B1F21" w:rsidRPr="00C70785" w:rsidRDefault="008B1F21" w:rsidP="008B1F21">
      <w:pPr>
        <w:spacing w:line="360" w:lineRule="auto"/>
        <w:jc w:val="both"/>
        <w:rPr>
          <w:rFonts w:cstheme="minorHAnsi"/>
          <w:sz w:val="24"/>
          <w:szCs w:val="24"/>
        </w:rPr>
      </w:pPr>
      <w:r w:rsidRPr="00C70785">
        <w:rPr>
          <w:rFonts w:cstheme="minorHAnsi"/>
          <w:b/>
          <w:bCs/>
          <w:sz w:val="24"/>
          <w:szCs w:val="24"/>
        </w:rPr>
        <w:t>Prostá doba návratnosti</w:t>
      </w:r>
      <w:r w:rsidRPr="00C70785">
        <w:rPr>
          <w:rFonts w:cstheme="minorHAnsi"/>
          <w:sz w:val="24"/>
          <w:szCs w:val="24"/>
        </w:rPr>
        <w:t xml:space="preserve"> – odpovídá na otázku, za jak dlouho se investice vrátí bez ohledu na vliv jakékoliv úrokové míry. Anglická zkratka PP (playback period). Vzorec pro využití prosté doby návratnosti: </w:t>
      </w:r>
    </w:p>
    <w:p w14:paraId="77F57A96" w14:textId="77777777" w:rsidR="008B1F21" w:rsidRPr="00C70785" w:rsidRDefault="008B1F21" w:rsidP="008B1F21">
      <w:pPr>
        <w:spacing w:line="360" w:lineRule="auto"/>
        <w:jc w:val="center"/>
        <w:rPr>
          <w:rFonts w:cstheme="minorHAnsi"/>
          <w:sz w:val="24"/>
          <w:szCs w:val="24"/>
        </w:rPr>
      </w:pPr>
      <m:oMathPara>
        <m:oMath>
          <m:r>
            <w:rPr>
              <w:rFonts w:ascii="Cambria Math" w:hAnsi="Cambria Math" w:cstheme="minorHAnsi"/>
              <w:sz w:val="24"/>
              <w:szCs w:val="24"/>
            </w:rPr>
            <m:t>Ts=IN/CF</m:t>
          </m:r>
        </m:oMath>
      </m:oMathPara>
    </w:p>
    <w:p w14:paraId="1F6CBBFD" w14:textId="77777777" w:rsidR="008B1F21" w:rsidRPr="00C70785" w:rsidRDefault="008B1F21" w:rsidP="008B1F21">
      <w:pPr>
        <w:spacing w:line="360" w:lineRule="auto"/>
        <w:jc w:val="both"/>
        <w:rPr>
          <w:rFonts w:cstheme="minorHAnsi"/>
          <w:sz w:val="24"/>
          <w:szCs w:val="24"/>
        </w:rPr>
      </w:pPr>
      <w:proofErr w:type="spellStart"/>
      <w:r w:rsidRPr="00C70785">
        <w:rPr>
          <w:rFonts w:cstheme="minorHAnsi"/>
          <w:sz w:val="24"/>
          <w:szCs w:val="24"/>
        </w:rPr>
        <w:t>Ts</w:t>
      </w:r>
      <w:proofErr w:type="spellEnd"/>
      <w:r w:rsidRPr="00C70785">
        <w:rPr>
          <w:rFonts w:cstheme="minorHAnsi"/>
          <w:sz w:val="24"/>
          <w:szCs w:val="24"/>
        </w:rPr>
        <w:t xml:space="preserve"> = prostá doba návratnosti </w:t>
      </w:r>
    </w:p>
    <w:p w14:paraId="2974972D" w14:textId="77777777" w:rsidR="008B1F21" w:rsidRPr="00C70785" w:rsidRDefault="008B1F21" w:rsidP="008B1F21">
      <w:pPr>
        <w:spacing w:line="360" w:lineRule="auto"/>
        <w:jc w:val="both"/>
        <w:rPr>
          <w:rFonts w:cstheme="minorHAnsi"/>
          <w:sz w:val="24"/>
          <w:szCs w:val="24"/>
        </w:rPr>
      </w:pPr>
      <w:r w:rsidRPr="00C70785">
        <w:rPr>
          <w:rFonts w:cstheme="minorHAnsi"/>
          <w:sz w:val="24"/>
          <w:szCs w:val="24"/>
        </w:rPr>
        <w:lastRenderedPageBreak/>
        <w:t>IN = investiční výdaj</w:t>
      </w:r>
    </w:p>
    <w:p w14:paraId="78D87103" w14:textId="77777777" w:rsidR="008B1F21" w:rsidRPr="00C70785" w:rsidRDefault="008B1F21" w:rsidP="008B1F21">
      <w:pPr>
        <w:spacing w:line="360" w:lineRule="auto"/>
        <w:jc w:val="both"/>
        <w:rPr>
          <w:rFonts w:cstheme="minorHAnsi"/>
          <w:sz w:val="24"/>
          <w:szCs w:val="24"/>
        </w:rPr>
      </w:pPr>
      <w:r w:rsidRPr="00C70785">
        <w:rPr>
          <w:rFonts w:cstheme="minorHAnsi"/>
          <w:sz w:val="24"/>
          <w:szCs w:val="24"/>
        </w:rPr>
        <w:t xml:space="preserve">CF = cash </w:t>
      </w:r>
      <w:proofErr w:type="spellStart"/>
      <w:r w:rsidRPr="00C70785">
        <w:rPr>
          <w:rFonts w:cstheme="minorHAnsi"/>
          <w:sz w:val="24"/>
          <w:szCs w:val="24"/>
        </w:rPr>
        <w:t>flow</w:t>
      </w:r>
      <w:proofErr w:type="spellEnd"/>
      <w:r w:rsidRPr="00C70785">
        <w:rPr>
          <w:rFonts w:cstheme="minorHAnsi"/>
          <w:sz w:val="24"/>
          <w:szCs w:val="24"/>
        </w:rPr>
        <w:t xml:space="preserve"> </w:t>
      </w:r>
    </w:p>
    <w:p w14:paraId="22746DDD" w14:textId="77777777" w:rsidR="008B1F21" w:rsidRPr="00C70785" w:rsidRDefault="008B1F21" w:rsidP="008B1F21">
      <w:pPr>
        <w:spacing w:line="360" w:lineRule="auto"/>
        <w:jc w:val="both"/>
        <w:rPr>
          <w:rFonts w:cstheme="minorHAnsi"/>
          <w:i/>
          <w:iCs/>
          <w:sz w:val="24"/>
          <w:szCs w:val="24"/>
        </w:rPr>
      </w:pPr>
      <w:r w:rsidRPr="00C70785">
        <w:rPr>
          <w:rFonts w:cstheme="minorHAnsi"/>
          <w:i/>
          <w:iCs/>
          <w:sz w:val="24"/>
          <w:szCs w:val="24"/>
        </w:rPr>
        <w:t>Příklad 6</w:t>
      </w:r>
    </w:p>
    <w:p w14:paraId="67A76ECE" w14:textId="77777777" w:rsidR="008B1F21" w:rsidRPr="00C70785" w:rsidRDefault="008B1F21" w:rsidP="008B1F21">
      <w:pPr>
        <w:spacing w:line="360" w:lineRule="auto"/>
        <w:jc w:val="both"/>
        <w:rPr>
          <w:rFonts w:cstheme="minorHAnsi"/>
          <w:i/>
          <w:iCs/>
          <w:sz w:val="24"/>
          <w:szCs w:val="24"/>
        </w:rPr>
      </w:pPr>
      <w:r w:rsidRPr="00C70785">
        <w:rPr>
          <w:rFonts w:cstheme="minorHAnsi"/>
          <w:sz w:val="24"/>
          <w:szCs w:val="24"/>
        </w:rPr>
        <w:t xml:space="preserve">Zdroj: </w:t>
      </w:r>
      <w:hyperlink r:id="rId5" w:history="1">
        <w:r w:rsidRPr="00C70785">
          <w:rPr>
            <w:rStyle w:val="Hypertextovodkaz"/>
            <w:rFonts w:cstheme="minorHAnsi"/>
            <w:color w:val="auto"/>
          </w:rPr>
          <w:t>https://www.projekty-inkapo.cz/doba-navratnosti/</w:t>
        </w:r>
      </w:hyperlink>
      <w:r w:rsidRPr="00C70785">
        <w:rPr>
          <w:rFonts w:cstheme="minorHAnsi"/>
          <w:sz w:val="24"/>
          <w:szCs w:val="24"/>
        </w:rPr>
        <w:t xml:space="preserve"> </w:t>
      </w:r>
    </w:p>
    <w:p w14:paraId="1D52C588" w14:textId="77777777" w:rsidR="008B1F21" w:rsidRPr="00C70785" w:rsidRDefault="008B1F21" w:rsidP="008B1F21">
      <w:pPr>
        <w:numPr>
          <w:ilvl w:val="0"/>
          <w:numId w:val="25"/>
        </w:numPr>
        <w:shd w:val="clear" w:color="auto" w:fill="FFFFFF"/>
        <w:spacing w:before="100" w:beforeAutospacing="1" w:after="100" w:afterAutospacing="1" w:line="360" w:lineRule="auto"/>
        <w:jc w:val="both"/>
        <w:rPr>
          <w:rFonts w:eastAsia="Times New Roman" w:cstheme="minorHAnsi"/>
          <w:color w:val="0A0808"/>
          <w:spacing w:val="8"/>
          <w:sz w:val="24"/>
          <w:szCs w:val="24"/>
          <w:lang w:eastAsia="cs-CZ"/>
        </w:rPr>
      </w:pPr>
      <w:r w:rsidRPr="00C70785">
        <w:rPr>
          <w:rFonts w:eastAsia="Times New Roman" w:cstheme="minorHAnsi"/>
          <w:color w:val="0A0808"/>
          <w:spacing w:val="8"/>
          <w:sz w:val="24"/>
          <w:szCs w:val="24"/>
          <w:lang w:eastAsia="cs-CZ"/>
        </w:rPr>
        <w:t>Počáteční investice do zateplení činí 515.000, - Kč</w:t>
      </w:r>
    </w:p>
    <w:p w14:paraId="0B70AD14" w14:textId="77777777" w:rsidR="008B1F21" w:rsidRPr="00C70785" w:rsidRDefault="008B1F21" w:rsidP="008B1F21">
      <w:pPr>
        <w:numPr>
          <w:ilvl w:val="0"/>
          <w:numId w:val="25"/>
        </w:numPr>
        <w:shd w:val="clear" w:color="auto" w:fill="FFFFFF"/>
        <w:spacing w:before="100" w:beforeAutospacing="1" w:after="100" w:afterAutospacing="1" w:line="360" w:lineRule="auto"/>
        <w:jc w:val="both"/>
        <w:rPr>
          <w:rFonts w:eastAsia="Times New Roman" w:cstheme="minorHAnsi"/>
          <w:color w:val="0A0808"/>
          <w:spacing w:val="8"/>
          <w:sz w:val="24"/>
          <w:szCs w:val="24"/>
          <w:lang w:eastAsia="cs-CZ"/>
        </w:rPr>
      </w:pPr>
      <w:r w:rsidRPr="00C70785">
        <w:rPr>
          <w:rFonts w:eastAsia="Times New Roman" w:cstheme="minorHAnsi"/>
          <w:color w:val="0A0808"/>
          <w:spacing w:val="8"/>
          <w:sz w:val="24"/>
          <w:szCs w:val="24"/>
          <w:lang w:eastAsia="cs-CZ"/>
        </w:rPr>
        <w:t>Roční úspora nákladů na vytápění je 32.321, - Kč</w:t>
      </w:r>
    </w:p>
    <w:p w14:paraId="7CAC945B" w14:textId="77777777" w:rsidR="008B1F21" w:rsidRPr="00C70785" w:rsidRDefault="008B1F21" w:rsidP="008B1F21">
      <w:pPr>
        <w:shd w:val="clear" w:color="auto" w:fill="FFFFFF"/>
        <w:spacing w:after="150" w:line="360" w:lineRule="auto"/>
        <w:jc w:val="both"/>
        <w:rPr>
          <w:rFonts w:eastAsia="Times New Roman" w:cstheme="minorHAnsi"/>
          <w:color w:val="0A0808"/>
          <w:spacing w:val="8"/>
          <w:sz w:val="24"/>
          <w:szCs w:val="24"/>
          <w:lang w:eastAsia="cs-CZ"/>
        </w:rPr>
      </w:pPr>
      <w:r w:rsidRPr="00C70785">
        <w:rPr>
          <w:rFonts w:eastAsia="Times New Roman" w:cstheme="minorHAnsi"/>
          <w:color w:val="0A0808"/>
          <w:spacing w:val="8"/>
          <w:sz w:val="24"/>
          <w:szCs w:val="24"/>
          <w:lang w:eastAsia="cs-CZ"/>
        </w:rPr>
        <w:t xml:space="preserve">Za jak dlouho se investice vrátí podle ukazatele prosté doby návratnosti? </w:t>
      </w:r>
    </w:p>
    <w:p w14:paraId="03C45AD4" w14:textId="77777777" w:rsidR="008B1F21" w:rsidRPr="00C70785" w:rsidRDefault="008B1F21" w:rsidP="008B1F21">
      <w:pPr>
        <w:shd w:val="clear" w:color="auto" w:fill="FFFFFF"/>
        <w:spacing w:after="150" w:line="360" w:lineRule="auto"/>
        <w:jc w:val="both"/>
        <w:rPr>
          <w:rFonts w:eastAsia="Times New Roman" w:cstheme="minorHAnsi"/>
          <w:color w:val="0A0808"/>
          <w:spacing w:val="8"/>
          <w:sz w:val="24"/>
          <w:szCs w:val="24"/>
          <w:lang w:eastAsia="cs-CZ"/>
        </w:rPr>
      </w:pPr>
      <w:r w:rsidRPr="00C70785">
        <w:rPr>
          <w:rFonts w:eastAsia="Times New Roman" w:cstheme="minorHAnsi"/>
          <w:color w:val="0A0808"/>
          <w:spacing w:val="8"/>
          <w:sz w:val="24"/>
          <w:szCs w:val="24"/>
          <w:lang w:eastAsia="cs-CZ"/>
        </w:rPr>
        <w:t xml:space="preserve">Řešení </w:t>
      </w:r>
    </w:p>
    <w:p w14:paraId="1EDD1C8F" w14:textId="77777777" w:rsidR="008B1F21" w:rsidRPr="00C70785" w:rsidRDefault="008B1F21" w:rsidP="008B1F21">
      <w:pPr>
        <w:shd w:val="clear" w:color="auto" w:fill="FFFFFF"/>
        <w:spacing w:after="150" w:line="360" w:lineRule="auto"/>
        <w:jc w:val="both"/>
        <w:rPr>
          <w:rFonts w:eastAsia="Times New Roman" w:cstheme="minorHAnsi"/>
          <w:color w:val="0A0808"/>
          <w:spacing w:val="8"/>
          <w:sz w:val="24"/>
          <w:szCs w:val="24"/>
          <w:lang w:eastAsia="cs-CZ"/>
        </w:rPr>
      </w:pPr>
      <w:r w:rsidRPr="00C70785">
        <w:rPr>
          <w:rFonts w:eastAsia="Times New Roman" w:cstheme="minorHAnsi"/>
          <w:color w:val="0A0808"/>
          <w:spacing w:val="8"/>
          <w:sz w:val="24"/>
          <w:szCs w:val="24"/>
          <w:lang w:eastAsia="cs-CZ"/>
        </w:rPr>
        <w:t>Prostým podílem 515.000/32.321 zjistíme, že je to cca 15,9 let. Nezohledňujeme však pravděpodobný růst ceny energie. Předpokládaná doba životnosti oprav je 25 let. Doba návratnosti je kratší, a to je pozitivní.</w:t>
      </w:r>
    </w:p>
    <w:p w14:paraId="239D4D80" w14:textId="77777777" w:rsidR="008B1F21" w:rsidRPr="00C70785" w:rsidRDefault="008B1F21" w:rsidP="008B1F21">
      <w:pPr>
        <w:shd w:val="clear" w:color="auto" w:fill="FFFFFF"/>
        <w:spacing w:after="150" w:line="360" w:lineRule="auto"/>
        <w:jc w:val="both"/>
        <w:rPr>
          <w:rFonts w:eastAsia="Times New Roman" w:cstheme="minorHAnsi"/>
          <w:color w:val="0A0808"/>
          <w:spacing w:val="8"/>
          <w:sz w:val="24"/>
          <w:szCs w:val="24"/>
          <w:lang w:eastAsia="cs-CZ"/>
        </w:rPr>
      </w:pPr>
      <w:r w:rsidRPr="00C70785">
        <w:rPr>
          <w:rFonts w:eastAsia="Times New Roman" w:cstheme="minorHAnsi"/>
          <w:b/>
          <w:bCs/>
          <w:color w:val="0A0808"/>
          <w:spacing w:val="8"/>
          <w:sz w:val="24"/>
          <w:szCs w:val="24"/>
          <w:lang w:eastAsia="cs-CZ"/>
        </w:rPr>
        <w:t>Průměrná doba návratnosti</w:t>
      </w:r>
    </w:p>
    <w:p w14:paraId="64B30023" w14:textId="77777777" w:rsidR="008B1F21" w:rsidRPr="00C70785" w:rsidRDefault="008B1F21" w:rsidP="008B1F21">
      <w:pPr>
        <w:shd w:val="clear" w:color="auto" w:fill="FFFFFF"/>
        <w:spacing w:after="150" w:line="360" w:lineRule="auto"/>
        <w:jc w:val="both"/>
        <w:rPr>
          <w:rFonts w:eastAsia="Times New Roman" w:cstheme="minorHAnsi"/>
          <w:color w:val="0A0808"/>
          <w:spacing w:val="8"/>
          <w:sz w:val="24"/>
          <w:szCs w:val="24"/>
          <w:lang w:eastAsia="cs-CZ"/>
        </w:rPr>
      </w:pPr>
      <w:r>
        <w:rPr>
          <w:rFonts w:eastAsia="Times New Roman" w:cstheme="minorHAnsi"/>
          <w:color w:val="0A0808"/>
          <w:spacing w:val="8"/>
          <w:sz w:val="24"/>
          <w:szCs w:val="24"/>
          <w:lang w:eastAsia="cs-CZ"/>
        </w:rPr>
        <w:tab/>
      </w:r>
      <w:r w:rsidRPr="00C70785">
        <w:rPr>
          <w:rFonts w:eastAsia="Times New Roman" w:cstheme="minorHAnsi"/>
          <w:color w:val="0A0808"/>
          <w:spacing w:val="8"/>
          <w:sz w:val="24"/>
          <w:szCs w:val="24"/>
          <w:lang w:eastAsia="cs-CZ"/>
        </w:rPr>
        <w:t xml:space="preserve">Průměrná doba návratnosti – vyjadřuje za jak dlouhou dobu by se měla počáteční investice splatit. Vzorec pro využití průměrné doby návratnosti: </w:t>
      </w:r>
    </w:p>
    <w:p w14:paraId="42193A59" w14:textId="77777777" w:rsidR="008B1F21" w:rsidRPr="00C70785" w:rsidRDefault="008B1F21" w:rsidP="008B1F21">
      <w:pPr>
        <w:shd w:val="clear" w:color="auto" w:fill="FFFFFF"/>
        <w:spacing w:after="150" w:line="360" w:lineRule="auto"/>
        <w:jc w:val="center"/>
        <w:rPr>
          <w:rFonts w:cstheme="minorHAnsi"/>
          <w:color w:val="000000"/>
          <w:sz w:val="24"/>
          <w:szCs w:val="24"/>
          <w:shd w:val="clear" w:color="auto" w:fill="FFFFFF"/>
        </w:rPr>
      </w:pPr>
      <m:oMathPara>
        <m:oMath>
          <m:r>
            <w:rPr>
              <w:rFonts w:ascii="Cambria Math" w:eastAsia="Times New Roman" w:hAnsi="Cambria Math" w:cstheme="minorHAnsi"/>
              <w:color w:val="0A0808"/>
              <w:spacing w:val="8"/>
              <w:sz w:val="24"/>
              <w:szCs w:val="24"/>
              <w:lang w:eastAsia="cs-CZ"/>
            </w:rPr>
            <m:t>Ts=Co/∅CF</m:t>
          </m:r>
        </m:oMath>
      </m:oMathPara>
    </w:p>
    <w:p w14:paraId="5CE036EE" w14:textId="77777777" w:rsidR="008B1F21" w:rsidRPr="00C70785" w:rsidRDefault="008B1F21" w:rsidP="008B1F21">
      <w:pPr>
        <w:shd w:val="clear" w:color="auto" w:fill="FFFFFF"/>
        <w:spacing w:after="150" w:line="360" w:lineRule="auto"/>
        <w:jc w:val="both"/>
        <w:rPr>
          <w:rFonts w:cstheme="minorHAnsi"/>
          <w:color w:val="000000"/>
          <w:sz w:val="24"/>
          <w:szCs w:val="24"/>
          <w:shd w:val="clear" w:color="auto" w:fill="FFFFFF"/>
        </w:rPr>
      </w:pPr>
      <w:proofErr w:type="spellStart"/>
      <w:r w:rsidRPr="00C70785">
        <w:rPr>
          <w:rFonts w:cstheme="minorHAnsi"/>
          <w:color w:val="000000"/>
          <w:sz w:val="24"/>
          <w:szCs w:val="24"/>
          <w:shd w:val="clear" w:color="auto" w:fill="FFFFFF"/>
        </w:rPr>
        <w:t>Ts</w:t>
      </w:r>
      <w:proofErr w:type="spellEnd"/>
      <w:r w:rsidRPr="00C70785">
        <w:rPr>
          <w:rFonts w:cstheme="minorHAnsi"/>
          <w:color w:val="000000"/>
          <w:sz w:val="24"/>
          <w:szCs w:val="24"/>
          <w:shd w:val="clear" w:color="auto" w:fill="FFFFFF"/>
        </w:rPr>
        <w:t xml:space="preserve"> = průměrná doba návratnosti </w:t>
      </w:r>
    </w:p>
    <w:p w14:paraId="20A8370F" w14:textId="77777777" w:rsidR="008B1F21" w:rsidRPr="00C70785" w:rsidRDefault="008B1F21" w:rsidP="008B1F21">
      <w:pPr>
        <w:shd w:val="clear" w:color="auto" w:fill="FFFFFF"/>
        <w:spacing w:after="150" w:line="360" w:lineRule="auto"/>
        <w:jc w:val="both"/>
        <w:rPr>
          <w:rFonts w:cstheme="minorHAnsi"/>
          <w:color w:val="000000"/>
          <w:sz w:val="24"/>
          <w:szCs w:val="24"/>
          <w:shd w:val="clear" w:color="auto" w:fill="FFFFFF"/>
        </w:rPr>
      </w:pPr>
      <w:r w:rsidRPr="00C70785">
        <w:rPr>
          <w:rFonts w:cstheme="minorHAnsi"/>
          <w:color w:val="000000"/>
          <w:sz w:val="24"/>
          <w:szCs w:val="24"/>
          <w:shd w:val="clear" w:color="auto" w:fill="FFFFFF"/>
        </w:rPr>
        <w:t xml:space="preserve">Co = počáteční investice </w:t>
      </w:r>
    </w:p>
    <w:p w14:paraId="7054F1D2" w14:textId="77777777" w:rsidR="008B1F21" w:rsidRPr="00C70785" w:rsidRDefault="008B1F21" w:rsidP="008B1F21">
      <w:pPr>
        <w:shd w:val="clear" w:color="auto" w:fill="FFFFFF"/>
        <w:spacing w:after="150" w:line="360" w:lineRule="auto"/>
        <w:jc w:val="both"/>
        <w:rPr>
          <w:rFonts w:cstheme="minorHAnsi"/>
          <w:color w:val="000000"/>
          <w:sz w:val="24"/>
          <w:szCs w:val="24"/>
          <w:shd w:val="clear" w:color="auto" w:fill="FFFFFF"/>
        </w:rPr>
      </w:pPr>
      <w:r w:rsidRPr="00C70785">
        <w:rPr>
          <w:rStyle w:val="tim"/>
          <w:rFonts w:ascii="Cambria Math" w:hAnsi="Cambria Math" w:cs="Cambria Math"/>
          <w:color w:val="000000"/>
          <w:sz w:val="24"/>
          <w:szCs w:val="24"/>
          <w:shd w:val="clear" w:color="auto" w:fill="FFFFFF"/>
        </w:rPr>
        <w:t>⌀</w:t>
      </w:r>
      <w:r w:rsidRPr="00C70785">
        <w:rPr>
          <w:rFonts w:cstheme="minorHAnsi"/>
          <w:color w:val="000000"/>
          <w:sz w:val="24"/>
          <w:szCs w:val="24"/>
          <w:shd w:val="clear" w:color="auto" w:fill="FFFFFF"/>
        </w:rPr>
        <w:t xml:space="preserve"> CF = průměrné cash </w:t>
      </w:r>
      <w:proofErr w:type="spellStart"/>
      <w:r w:rsidRPr="00C70785">
        <w:rPr>
          <w:rFonts w:cstheme="minorHAnsi"/>
          <w:color w:val="000000"/>
          <w:sz w:val="24"/>
          <w:szCs w:val="24"/>
          <w:shd w:val="clear" w:color="auto" w:fill="FFFFFF"/>
        </w:rPr>
        <w:t>flow</w:t>
      </w:r>
      <w:proofErr w:type="spellEnd"/>
      <w:r w:rsidRPr="00C70785">
        <w:rPr>
          <w:rFonts w:cstheme="minorHAnsi"/>
          <w:color w:val="000000"/>
          <w:sz w:val="24"/>
          <w:szCs w:val="24"/>
          <w:shd w:val="clear" w:color="auto" w:fill="FFFFFF"/>
        </w:rPr>
        <w:t xml:space="preserve"> </w:t>
      </w:r>
    </w:p>
    <w:p w14:paraId="05CDE80C" w14:textId="77777777" w:rsidR="008B1F21" w:rsidRDefault="008B1F21" w:rsidP="008B1F21">
      <w:pPr>
        <w:spacing w:line="360" w:lineRule="auto"/>
        <w:ind w:firstLine="360"/>
        <w:jc w:val="both"/>
        <w:rPr>
          <w:rFonts w:cstheme="minorHAnsi"/>
          <w:sz w:val="24"/>
          <w:szCs w:val="24"/>
        </w:rPr>
      </w:pPr>
      <w:r w:rsidRPr="00C70785">
        <w:rPr>
          <w:rFonts w:cstheme="minorHAnsi"/>
          <w:sz w:val="24"/>
          <w:szCs w:val="24"/>
        </w:rPr>
        <w:t xml:space="preserve">Průměrná roční výnosnost – označované také jako účetní rentabilita nebo průměrná rentabilita. Základní podstatou se stává uvažování zisku po zdanění jako ekonomického efektu přinášejícího projektem. Metoda se vztahuje na časový horizont jednoho roku. Metoda se může využít pro hodnocení více projektů s různou dobou ekonomické životnosti. Výhodou se stávají zisky po zdanění, které se projevují u ceny produktů a rozdílné objemy uskutečněné produkce. Metody se mohou využít pro projekty, které nemají stejný objem. Nevýhody této metody jsou: nebere v úvahu rozsah investičního projektu, nepomíjí vliv času, do peněžního příjmu se nezapočítávají odpisy. Vzorec pro výpočet průměrného ročního výnosu: </w:t>
      </w:r>
    </w:p>
    <w:p w14:paraId="474BD76C" w14:textId="77777777" w:rsidR="008B1F21" w:rsidRPr="00C70785" w:rsidRDefault="008B1F21" w:rsidP="008B1F21">
      <w:pPr>
        <w:spacing w:line="360" w:lineRule="auto"/>
        <w:ind w:firstLine="360"/>
        <w:jc w:val="both"/>
        <w:rPr>
          <w:rFonts w:cstheme="minorHAnsi"/>
          <w:sz w:val="24"/>
          <w:szCs w:val="24"/>
        </w:rPr>
      </w:pPr>
    </w:p>
    <w:p w14:paraId="43941384" w14:textId="77777777" w:rsidR="008B1F21" w:rsidRPr="00C70785" w:rsidRDefault="008B1F21" w:rsidP="008B1F21">
      <w:pPr>
        <w:spacing w:line="360" w:lineRule="auto"/>
        <w:ind w:firstLine="360"/>
        <w:jc w:val="both"/>
        <w:rPr>
          <w:rFonts w:cstheme="minorHAnsi"/>
          <w:sz w:val="24"/>
          <w:szCs w:val="24"/>
        </w:rPr>
      </w:pPr>
      <m:oMathPara>
        <m:oMath>
          <m:r>
            <m:rPr>
              <m:sty m:val="p"/>
            </m:rPr>
            <w:rPr>
              <w:rFonts w:ascii="Cambria Math" w:hAnsi="Cambria Math" w:cstheme="minorHAnsi"/>
              <w:sz w:val="24"/>
              <w:szCs w:val="24"/>
              <w:lang w:eastAsia="cs-CZ"/>
            </w:rPr>
            <m:t>Ø CF=</m:t>
          </m:r>
          <m:f>
            <m:fPr>
              <m:ctrlPr>
                <w:rPr>
                  <w:rFonts w:ascii="Cambria Math" w:hAnsi="Cambria Math" w:cstheme="minorHAnsi"/>
                  <w:i/>
                  <w:sz w:val="24"/>
                  <w:szCs w:val="24"/>
                  <w:lang w:eastAsia="cs-CZ"/>
                </w:rPr>
              </m:ctrlPr>
            </m:fPr>
            <m:num>
              <m:nary>
                <m:naryPr>
                  <m:chr m:val="∑"/>
                  <m:limLoc m:val="undOvr"/>
                  <m:ctrlPr>
                    <w:rPr>
                      <w:rFonts w:ascii="Cambria Math" w:hAnsi="Cambria Math" w:cstheme="minorHAnsi"/>
                      <w:i/>
                      <w:sz w:val="24"/>
                      <w:szCs w:val="24"/>
                      <w:lang w:eastAsia="cs-CZ"/>
                    </w:rPr>
                  </m:ctrlPr>
                </m:naryPr>
                <m:sub>
                  <m:r>
                    <w:rPr>
                      <w:rFonts w:ascii="Cambria Math" w:hAnsi="Cambria Math" w:cstheme="minorHAnsi"/>
                      <w:sz w:val="24"/>
                      <w:szCs w:val="24"/>
                      <w:lang w:eastAsia="cs-CZ"/>
                    </w:rPr>
                    <m:t>i=1</m:t>
                  </m:r>
                </m:sub>
                <m:sup>
                  <m:r>
                    <w:rPr>
                      <w:rFonts w:ascii="Cambria Math" w:hAnsi="Cambria Math" w:cstheme="minorHAnsi"/>
                      <w:sz w:val="24"/>
                      <w:szCs w:val="24"/>
                      <w:lang w:eastAsia="cs-CZ"/>
                    </w:rPr>
                    <m:t>n</m:t>
                  </m:r>
                </m:sup>
                <m:e>
                  <m:sSub>
                    <m:sSubPr>
                      <m:ctrlPr>
                        <w:rPr>
                          <w:rFonts w:ascii="Cambria Math" w:hAnsi="Cambria Math" w:cstheme="minorHAnsi"/>
                          <w:i/>
                          <w:sz w:val="24"/>
                          <w:szCs w:val="24"/>
                          <w:lang w:eastAsia="cs-CZ"/>
                        </w:rPr>
                      </m:ctrlPr>
                    </m:sSubPr>
                    <m:e>
                      <m:r>
                        <w:rPr>
                          <w:rFonts w:ascii="Cambria Math" w:hAnsi="Cambria Math" w:cstheme="minorHAnsi"/>
                          <w:sz w:val="24"/>
                          <w:szCs w:val="24"/>
                          <w:lang w:eastAsia="cs-CZ"/>
                        </w:rPr>
                        <m:t>CF</m:t>
                      </m:r>
                    </m:e>
                    <m:sub>
                      <m:r>
                        <w:rPr>
                          <w:rFonts w:ascii="Cambria Math" w:hAnsi="Cambria Math" w:cstheme="minorHAnsi"/>
                          <w:sz w:val="24"/>
                          <w:szCs w:val="24"/>
                          <w:lang w:eastAsia="cs-CZ"/>
                        </w:rPr>
                        <m:t>i</m:t>
                      </m:r>
                    </m:sub>
                  </m:sSub>
                </m:e>
              </m:nary>
            </m:num>
            <m:den>
              <m:r>
                <w:rPr>
                  <w:rFonts w:ascii="Cambria Math" w:hAnsi="Cambria Math" w:cstheme="minorHAnsi"/>
                  <w:sz w:val="24"/>
                  <w:szCs w:val="24"/>
                  <w:lang w:eastAsia="cs-CZ"/>
                </w:rPr>
                <m:t>n</m:t>
              </m:r>
            </m:den>
          </m:f>
        </m:oMath>
      </m:oMathPara>
    </w:p>
    <w:p w14:paraId="22BD7B28" w14:textId="77777777" w:rsidR="008B1F21" w:rsidRPr="00C70785" w:rsidRDefault="008B1F21" w:rsidP="008B1F21">
      <w:pPr>
        <w:spacing w:line="360" w:lineRule="auto"/>
        <w:jc w:val="both"/>
        <w:rPr>
          <w:rFonts w:cstheme="minorHAnsi"/>
          <w:sz w:val="24"/>
          <w:szCs w:val="24"/>
        </w:rPr>
      </w:pPr>
    </w:p>
    <w:p w14:paraId="5A2A7CF4" w14:textId="77777777" w:rsidR="008B1F21" w:rsidRPr="00C70785" w:rsidRDefault="008B1F21" w:rsidP="008B1F21">
      <w:pPr>
        <w:spacing w:line="360" w:lineRule="auto"/>
        <w:jc w:val="both"/>
        <w:rPr>
          <w:rFonts w:cstheme="minorHAnsi"/>
          <w:sz w:val="24"/>
          <w:szCs w:val="24"/>
        </w:rPr>
      </w:pPr>
      <w:proofErr w:type="spellStart"/>
      <w:r w:rsidRPr="00C70785">
        <w:rPr>
          <w:rFonts w:cstheme="minorHAnsi"/>
          <w:sz w:val="24"/>
          <w:szCs w:val="24"/>
        </w:rPr>
        <w:t>CFi</w:t>
      </w:r>
      <w:proofErr w:type="spellEnd"/>
      <w:r w:rsidRPr="00C70785">
        <w:rPr>
          <w:rFonts w:cstheme="minorHAnsi"/>
          <w:sz w:val="24"/>
          <w:szCs w:val="24"/>
        </w:rPr>
        <w:t xml:space="preserve"> – cash </w:t>
      </w:r>
      <w:proofErr w:type="spellStart"/>
      <w:r w:rsidRPr="00C70785">
        <w:rPr>
          <w:rFonts w:cstheme="minorHAnsi"/>
          <w:sz w:val="24"/>
          <w:szCs w:val="24"/>
        </w:rPr>
        <w:t>flow</w:t>
      </w:r>
      <w:proofErr w:type="spellEnd"/>
      <w:r w:rsidRPr="00C70785">
        <w:rPr>
          <w:rFonts w:cstheme="minorHAnsi"/>
          <w:sz w:val="24"/>
          <w:szCs w:val="24"/>
        </w:rPr>
        <w:t xml:space="preserve"> spojené s investicí</w:t>
      </w:r>
    </w:p>
    <w:p w14:paraId="2B088B29" w14:textId="77777777" w:rsidR="008B1F21" w:rsidRPr="00C70785" w:rsidRDefault="008B1F21" w:rsidP="008B1F21">
      <w:pPr>
        <w:spacing w:line="360" w:lineRule="auto"/>
        <w:jc w:val="both"/>
        <w:rPr>
          <w:rFonts w:cstheme="minorHAnsi"/>
          <w:sz w:val="24"/>
          <w:szCs w:val="24"/>
        </w:rPr>
      </w:pPr>
      <w:r w:rsidRPr="00C70785">
        <w:rPr>
          <w:rFonts w:cstheme="minorHAnsi"/>
          <w:sz w:val="24"/>
          <w:szCs w:val="24"/>
        </w:rPr>
        <w:t xml:space="preserve">n – počet let životnosti </w:t>
      </w:r>
    </w:p>
    <w:p w14:paraId="01CF7AAA" w14:textId="77777777" w:rsidR="008B1F21" w:rsidRPr="00C70785" w:rsidRDefault="008B1F21" w:rsidP="008B1F21">
      <w:pPr>
        <w:spacing w:line="360" w:lineRule="auto"/>
        <w:jc w:val="both"/>
        <w:rPr>
          <w:rFonts w:cstheme="minorHAnsi"/>
          <w:i/>
          <w:iCs/>
          <w:sz w:val="24"/>
          <w:szCs w:val="24"/>
        </w:rPr>
      </w:pPr>
      <w:r w:rsidRPr="00C70785">
        <w:rPr>
          <w:rFonts w:cstheme="minorHAnsi"/>
          <w:i/>
          <w:iCs/>
          <w:sz w:val="24"/>
          <w:szCs w:val="24"/>
        </w:rPr>
        <w:t>Příklad</w:t>
      </w:r>
      <w:r>
        <w:rPr>
          <w:rFonts w:cstheme="minorHAnsi"/>
          <w:i/>
          <w:iCs/>
          <w:sz w:val="24"/>
          <w:szCs w:val="24"/>
        </w:rPr>
        <w:t xml:space="preserve"> 7</w:t>
      </w:r>
    </w:p>
    <w:p w14:paraId="0FA18C46" w14:textId="77777777" w:rsidR="008B1F21" w:rsidRPr="00C70785" w:rsidRDefault="008B1F21" w:rsidP="008B1F21">
      <w:pPr>
        <w:spacing w:line="360" w:lineRule="auto"/>
        <w:jc w:val="both"/>
        <w:rPr>
          <w:rFonts w:cstheme="minorHAnsi"/>
          <w:sz w:val="24"/>
          <w:szCs w:val="24"/>
        </w:rPr>
      </w:pPr>
      <w:r w:rsidRPr="00C70785">
        <w:rPr>
          <w:rFonts w:cstheme="minorHAnsi"/>
          <w:sz w:val="24"/>
          <w:szCs w:val="24"/>
        </w:rPr>
        <w:t xml:space="preserve">Zdroj: </w:t>
      </w:r>
      <w:hyperlink r:id="rId6" w:history="1">
        <w:r w:rsidRPr="00C70785">
          <w:rPr>
            <w:rStyle w:val="Hypertextovodkaz"/>
            <w:rFonts w:cstheme="minorHAnsi"/>
            <w:color w:val="auto"/>
          </w:rPr>
          <w:t>https://finexpert.e15.cz/tahak-spocitejte-si-vynos-investice</w:t>
        </w:r>
      </w:hyperlink>
      <w:r w:rsidRPr="00C70785">
        <w:rPr>
          <w:rFonts w:cstheme="minorHAnsi"/>
          <w:sz w:val="24"/>
          <w:szCs w:val="24"/>
        </w:rPr>
        <w:t xml:space="preserve"> </w:t>
      </w:r>
    </w:p>
    <w:p w14:paraId="438F1BF8" w14:textId="77777777" w:rsidR="008B1F21" w:rsidRPr="00C70785" w:rsidRDefault="008B1F21" w:rsidP="008B1F21">
      <w:pPr>
        <w:shd w:val="clear" w:color="auto" w:fill="FFFFFF"/>
        <w:spacing w:after="0" w:line="360" w:lineRule="auto"/>
        <w:jc w:val="both"/>
        <w:textAlignment w:val="baseline"/>
        <w:rPr>
          <w:rFonts w:eastAsia="Times New Roman" w:cstheme="minorHAnsi"/>
          <w:color w:val="000000"/>
          <w:sz w:val="24"/>
          <w:szCs w:val="24"/>
          <w:lang w:eastAsia="cs-CZ"/>
        </w:rPr>
      </w:pPr>
      <w:r w:rsidRPr="00C70785">
        <w:rPr>
          <w:rFonts w:eastAsia="Times New Roman" w:cstheme="minorHAnsi"/>
          <w:color w:val="000000"/>
          <w:sz w:val="24"/>
          <w:szCs w:val="24"/>
          <w:bdr w:val="none" w:sz="0" w:space="0" w:color="auto" w:frame="1"/>
          <w:lang w:eastAsia="cs-CZ"/>
        </w:rPr>
        <w:t>Ignácius investoval 31. července 2003 do otevřeného podílového fondu sumu 72 500 Kč. Z dopisu, který mu následně investiční společnost poslala, vyplývá, že je majitelem 71 251 podílových listů fondu. Dne 21. ledna 2005 byl podle aktuálního vydání novin kurz fondu 1,1652 Kč. Kolik korun už fond Ignáciovi vydělal? Kolik procent už vydělal? Jaký je průměrný roční výnos investice?</w:t>
      </w:r>
    </w:p>
    <w:p w14:paraId="6430CEF6" w14:textId="77777777" w:rsidR="008B1F21" w:rsidRPr="00C70785" w:rsidRDefault="008B1F21" w:rsidP="008B1F21">
      <w:pPr>
        <w:spacing w:after="0" w:line="360" w:lineRule="auto"/>
        <w:jc w:val="both"/>
        <w:textAlignment w:val="baseline"/>
        <w:rPr>
          <w:rFonts w:eastAsia="Times New Roman" w:cstheme="minorHAnsi"/>
          <w:color w:val="000000"/>
          <w:sz w:val="24"/>
          <w:szCs w:val="24"/>
          <w:bdr w:val="none" w:sz="0" w:space="0" w:color="auto" w:frame="1"/>
          <w:shd w:val="clear" w:color="auto" w:fill="FFFFFF"/>
          <w:lang w:eastAsia="cs-CZ"/>
        </w:rPr>
      </w:pPr>
    </w:p>
    <w:p w14:paraId="3F80935A" w14:textId="77777777" w:rsidR="008B1F21" w:rsidRPr="00C70785" w:rsidRDefault="008B1F21" w:rsidP="008B1F21">
      <w:pPr>
        <w:spacing w:after="0" w:line="360" w:lineRule="auto"/>
        <w:jc w:val="both"/>
        <w:textAlignment w:val="baseline"/>
        <w:rPr>
          <w:rFonts w:eastAsia="Times New Roman" w:cstheme="minorHAnsi"/>
          <w:color w:val="000000"/>
          <w:sz w:val="24"/>
          <w:szCs w:val="24"/>
          <w:bdr w:val="none" w:sz="0" w:space="0" w:color="auto" w:frame="1"/>
          <w:shd w:val="clear" w:color="auto" w:fill="FFFFFF"/>
          <w:lang w:eastAsia="cs-CZ"/>
        </w:rPr>
      </w:pPr>
      <w:r w:rsidRPr="00C70785">
        <w:rPr>
          <w:rFonts w:eastAsia="Times New Roman" w:cstheme="minorHAnsi"/>
          <w:i/>
          <w:iCs/>
          <w:color w:val="000000"/>
          <w:sz w:val="24"/>
          <w:szCs w:val="24"/>
          <w:bdr w:val="none" w:sz="0" w:space="0" w:color="auto" w:frame="1"/>
          <w:shd w:val="clear" w:color="auto" w:fill="FFFFFF"/>
          <w:lang w:eastAsia="cs-CZ"/>
        </w:rPr>
        <w:t>Řešení</w:t>
      </w:r>
      <w:r w:rsidRPr="00C70785">
        <w:rPr>
          <w:rFonts w:eastAsia="Times New Roman" w:cstheme="minorHAnsi"/>
          <w:color w:val="000000"/>
          <w:sz w:val="24"/>
          <w:szCs w:val="24"/>
          <w:bdr w:val="none" w:sz="0" w:space="0" w:color="auto" w:frame="1"/>
          <w:shd w:val="clear" w:color="auto" w:fill="FFFFFF"/>
          <w:lang w:eastAsia="cs-CZ"/>
        </w:rPr>
        <w:br/>
        <w:t xml:space="preserve">Ignácius má nyní ve fondu 83 022 Kč. K danému číselnému údaji jsme dospěli výpočtem 71 251 × 1,1652 = 83 022. Je o 14,5 % bohatší než na začátku. </w:t>
      </w:r>
    </w:p>
    <w:p w14:paraId="42A1B152" w14:textId="77777777" w:rsidR="008B1F21" w:rsidRPr="00C70785" w:rsidRDefault="008B1F21" w:rsidP="008B1F21">
      <w:pPr>
        <w:spacing w:after="0" w:line="360" w:lineRule="auto"/>
        <w:jc w:val="both"/>
        <w:textAlignment w:val="baseline"/>
        <w:rPr>
          <w:rFonts w:eastAsia="Times New Roman" w:cstheme="minorHAnsi"/>
          <w:color w:val="000000"/>
          <w:sz w:val="24"/>
          <w:szCs w:val="24"/>
          <w:bdr w:val="none" w:sz="0" w:space="0" w:color="auto" w:frame="1"/>
          <w:shd w:val="clear" w:color="auto" w:fill="FFFFFF"/>
          <w:lang w:eastAsia="cs-CZ"/>
        </w:rPr>
      </w:pPr>
    </w:p>
    <w:p w14:paraId="501C7785" w14:textId="77777777" w:rsidR="008B1F21" w:rsidRPr="00C70785" w:rsidRDefault="008B1F21" w:rsidP="008B1F21">
      <w:pPr>
        <w:spacing w:after="0" w:line="360" w:lineRule="auto"/>
        <w:jc w:val="both"/>
        <w:textAlignment w:val="baseline"/>
        <w:rPr>
          <w:rFonts w:eastAsia="Times New Roman" w:cstheme="minorHAnsi"/>
          <w:i/>
          <w:iCs/>
          <w:color w:val="000000"/>
          <w:sz w:val="24"/>
          <w:szCs w:val="24"/>
          <w:bdr w:val="none" w:sz="0" w:space="0" w:color="auto" w:frame="1"/>
          <w:shd w:val="clear" w:color="auto" w:fill="FFFFFF"/>
          <w:lang w:eastAsia="cs-CZ"/>
        </w:rPr>
      </w:pPr>
      <w:r w:rsidRPr="00C70785">
        <w:rPr>
          <w:rFonts w:eastAsia="Times New Roman" w:cstheme="minorHAnsi"/>
          <w:i/>
          <w:iCs/>
          <w:color w:val="000000"/>
          <w:sz w:val="24"/>
          <w:szCs w:val="24"/>
          <w:bdr w:val="none" w:sz="0" w:space="0" w:color="auto" w:frame="1"/>
          <w:shd w:val="clear" w:color="auto" w:fill="FFFFFF"/>
          <w:lang w:eastAsia="cs-CZ"/>
        </w:rPr>
        <w:t xml:space="preserve">Výpočet </w:t>
      </w:r>
    </w:p>
    <w:p w14:paraId="6F221642" w14:textId="77777777" w:rsidR="008B1F21" w:rsidRPr="00C70785" w:rsidRDefault="008B1F21" w:rsidP="008B1F21">
      <w:pPr>
        <w:spacing w:after="0" w:line="360" w:lineRule="auto"/>
        <w:jc w:val="center"/>
        <w:textAlignment w:val="baseline"/>
        <w:rPr>
          <w:rFonts w:eastAsia="Times New Roman" w:cstheme="minorHAnsi"/>
          <w:color w:val="000000"/>
          <w:sz w:val="24"/>
          <w:szCs w:val="24"/>
          <w:bdr w:val="none" w:sz="0" w:space="0" w:color="auto" w:frame="1"/>
          <w:shd w:val="clear" w:color="auto" w:fill="FFFFFF"/>
          <w:lang w:eastAsia="cs-CZ"/>
        </w:rPr>
      </w:pPr>
      <w:r w:rsidRPr="00C70785">
        <w:rPr>
          <w:rFonts w:eastAsia="Times New Roman" w:cstheme="minorHAnsi"/>
          <w:color w:val="000000"/>
          <w:sz w:val="24"/>
          <w:szCs w:val="24"/>
          <w:bdr w:val="none" w:sz="0" w:space="0" w:color="auto" w:frame="1"/>
          <w:shd w:val="clear" w:color="auto" w:fill="FFFFFF"/>
          <w:lang w:eastAsia="cs-CZ"/>
        </w:rPr>
        <w:t>(83 022 – 72 500) /72 500 = 0,145131; tj. 14,5 %. Průměrný roční výnos Ignáciovi investice je 9,6 %.</w:t>
      </w:r>
    </w:p>
    <w:p w14:paraId="09BCE63B" w14:textId="77777777" w:rsidR="008B1F21" w:rsidRPr="00C70785" w:rsidRDefault="008B1F21" w:rsidP="008B1F21">
      <w:pPr>
        <w:spacing w:after="0" w:line="360" w:lineRule="auto"/>
        <w:jc w:val="both"/>
        <w:textAlignment w:val="baseline"/>
        <w:rPr>
          <w:rFonts w:eastAsia="Times New Roman" w:cstheme="minorHAnsi"/>
          <w:color w:val="000000"/>
          <w:sz w:val="24"/>
          <w:szCs w:val="24"/>
          <w:bdr w:val="none" w:sz="0" w:space="0" w:color="auto" w:frame="1"/>
          <w:shd w:val="clear" w:color="auto" w:fill="FFFFFF"/>
          <w:lang w:eastAsia="cs-CZ"/>
        </w:rPr>
      </w:pPr>
    </w:p>
    <w:p w14:paraId="2ED9097A" w14:textId="77777777" w:rsidR="008B1F21" w:rsidRPr="00C70785" w:rsidRDefault="008B1F21" w:rsidP="008B1F21">
      <w:pPr>
        <w:spacing w:after="0" w:line="360" w:lineRule="auto"/>
        <w:jc w:val="both"/>
        <w:textAlignment w:val="baseline"/>
        <w:rPr>
          <w:rFonts w:eastAsia="Times New Roman" w:cstheme="minorHAnsi"/>
          <w:i/>
          <w:iCs/>
          <w:color w:val="000000"/>
          <w:sz w:val="24"/>
          <w:szCs w:val="24"/>
          <w:bdr w:val="none" w:sz="0" w:space="0" w:color="auto" w:frame="1"/>
          <w:shd w:val="clear" w:color="auto" w:fill="FFFFFF"/>
          <w:lang w:eastAsia="cs-CZ"/>
        </w:rPr>
      </w:pPr>
      <w:r w:rsidRPr="00C70785">
        <w:rPr>
          <w:rFonts w:eastAsia="Times New Roman" w:cstheme="minorHAnsi"/>
          <w:color w:val="000000"/>
          <w:sz w:val="24"/>
          <w:szCs w:val="24"/>
          <w:bdr w:val="none" w:sz="0" w:space="0" w:color="auto" w:frame="1"/>
          <w:shd w:val="clear" w:color="auto" w:fill="FFFFFF"/>
          <w:lang w:eastAsia="cs-CZ"/>
        </w:rPr>
        <w:t>Počítáno podle vzorce </w:t>
      </w:r>
      <w:r w:rsidRPr="00C70785">
        <w:rPr>
          <w:rFonts w:eastAsia="Times New Roman" w:cstheme="minorHAnsi"/>
          <w:color w:val="000000"/>
          <w:sz w:val="24"/>
          <w:szCs w:val="24"/>
          <w:bdr w:val="none" w:sz="0" w:space="0" w:color="auto" w:frame="1"/>
          <w:lang w:eastAsia="cs-CZ"/>
        </w:rPr>
        <w:t xml:space="preserve">roční výnos = (1 + 0,145)1/1,47638 – 1 = 0,096 = </w:t>
      </w:r>
      <w:r w:rsidRPr="00C70785">
        <w:rPr>
          <w:rFonts w:eastAsia="Times New Roman" w:cstheme="minorHAnsi"/>
          <w:b/>
          <w:bCs/>
          <w:color w:val="000000"/>
          <w:sz w:val="24"/>
          <w:szCs w:val="24"/>
          <w:bdr w:val="none" w:sz="0" w:space="0" w:color="auto" w:frame="1"/>
          <w:lang w:eastAsia="cs-CZ"/>
        </w:rPr>
        <w:t>9,6 %</w:t>
      </w:r>
    </w:p>
    <w:p w14:paraId="574D4EF5" w14:textId="77777777" w:rsidR="008B1F21" w:rsidRPr="00C70785" w:rsidRDefault="008B1F21" w:rsidP="008B1F21">
      <w:pPr>
        <w:spacing w:after="0" w:line="360" w:lineRule="auto"/>
        <w:jc w:val="both"/>
        <w:textAlignment w:val="baseline"/>
        <w:rPr>
          <w:rFonts w:eastAsia="Times New Roman" w:cstheme="minorHAnsi"/>
          <w:color w:val="000000"/>
          <w:sz w:val="24"/>
          <w:szCs w:val="24"/>
          <w:bdr w:val="none" w:sz="0" w:space="0" w:color="auto" w:frame="1"/>
          <w:shd w:val="clear" w:color="auto" w:fill="FFFFFF"/>
          <w:lang w:eastAsia="cs-CZ"/>
        </w:rPr>
      </w:pPr>
    </w:p>
    <w:p w14:paraId="4BDAEB57" w14:textId="77777777" w:rsidR="008B1F21" w:rsidRDefault="008B1F21" w:rsidP="008B1F21">
      <w:pPr>
        <w:spacing w:after="0" w:line="360" w:lineRule="auto"/>
        <w:jc w:val="both"/>
        <w:textAlignment w:val="baseline"/>
        <w:rPr>
          <w:rFonts w:eastAsia="Times New Roman" w:cstheme="minorHAnsi"/>
          <w:color w:val="000000"/>
          <w:sz w:val="24"/>
          <w:szCs w:val="24"/>
          <w:bdr w:val="none" w:sz="0" w:space="0" w:color="auto" w:frame="1"/>
          <w:lang w:eastAsia="cs-CZ"/>
        </w:rPr>
      </w:pPr>
      <w:r w:rsidRPr="00C70785">
        <w:rPr>
          <w:rFonts w:eastAsia="Times New Roman" w:cstheme="minorHAnsi"/>
          <w:color w:val="000000"/>
          <w:sz w:val="24"/>
          <w:szCs w:val="24"/>
          <w:bdr w:val="none" w:sz="0" w:space="0" w:color="auto" w:frame="1"/>
          <w:shd w:val="clear" w:color="auto" w:fill="FFFFFF"/>
          <w:lang w:eastAsia="cs-CZ"/>
        </w:rPr>
        <w:t xml:space="preserve">Číslo 0,145 ve vzorci reprezentuje procentní výnos za celou dobu investice. Do vzorce se zadává v desetinném tvaru (14,5 % = 0,145). 1,47638 ve vzorci je celková doba investice v letech, tj. doba mezi 31. červencem 2003 a 21. lednem 2005. Je to jeden rok a 174 dní. Počet let z dní vypočítáme jako 1 + (174/365,25) = </w:t>
      </w:r>
      <w:r w:rsidRPr="00C70785">
        <w:rPr>
          <w:rFonts w:eastAsia="Times New Roman" w:cstheme="minorHAnsi"/>
          <w:b/>
          <w:bCs/>
          <w:color w:val="000000"/>
          <w:sz w:val="24"/>
          <w:szCs w:val="24"/>
          <w:bdr w:val="none" w:sz="0" w:space="0" w:color="auto" w:frame="1"/>
          <w:shd w:val="clear" w:color="auto" w:fill="FFFFFF"/>
          <w:lang w:eastAsia="cs-CZ"/>
        </w:rPr>
        <w:t>1,47638.</w:t>
      </w:r>
      <w:r w:rsidRPr="00C70785">
        <w:rPr>
          <w:rFonts w:eastAsia="Times New Roman" w:cstheme="minorHAnsi"/>
          <w:color w:val="000000"/>
          <w:sz w:val="24"/>
          <w:szCs w:val="24"/>
          <w:bdr w:val="none" w:sz="0" w:space="0" w:color="auto" w:frame="1"/>
          <w:lang w:eastAsia="cs-CZ"/>
        </w:rPr>
        <w:t> </w:t>
      </w:r>
    </w:p>
    <w:p w14:paraId="28833662" w14:textId="77777777" w:rsidR="008B1F21" w:rsidRDefault="008B1F21" w:rsidP="008B1F21">
      <w:pPr>
        <w:spacing w:after="0" w:line="360" w:lineRule="auto"/>
        <w:jc w:val="both"/>
        <w:textAlignment w:val="baseline"/>
        <w:rPr>
          <w:rFonts w:eastAsia="Times New Roman" w:cstheme="minorHAnsi"/>
          <w:color w:val="000000"/>
          <w:sz w:val="24"/>
          <w:szCs w:val="24"/>
          <w:bdr w:val="none" w:sz="0" w:space="0" w:color="auto" w:frame="1"/>
          <w:lang w:eastAsia="cs-CZ"/>
        </w:rPr>
      </w:pPr>
    </w:p>
    <w:p w14:paraId="4CCA15E8" w14:textId="77777777" w:rsidR="008B1F21" w:rsidRPr="00C70785" w:rsidRDefault="008B1F21" w:rsidP="008B1F21">
      <w:pPr>
        <w:spacing w:after="0" w:line="360" w:lineRule="auto"/>
        <w:jc w:val="both"/>
        <w:textAlignment w:val="baseline"/>
        <w:rPr>
          <w:rFonts w:eastAsia="Times New Roman" w:cstheme="minorHAnsi"/>
          <w:color w:val="000000"/>
          <w:sz w:val="24"/>
          <w:szCs w:val="24"/>
          <w:bdr w:val="none" w:sz="0" w:space="0" w:color="auto" w:frame="1"/>
          <w:lang w:eastAsia="cs-CZ"/>
        </w:rPr>
      </w:pPr>
    </w:p>
    <w:p w14:paraId="7FB749FB" w14:textId="77777777" w:rsidR="008B1F21" w:rsidRPr="00C70785" w:rsidRDefault="008B1F21" w:rsidP="008B1F21">
      <w:pPr>
        <w:spacing w:after="0" w:line="360" w:lineRule="auto"/>
        <w:jc w:val="both"/>
        <w:textAlignment w:val="baseline"/>
        <w:rPr>
          <w:rFonts w:eastAsia="Times New Roman" w:cstheme="minorHAnsi"/>
          <w:color w:val="000000"/>
          <w:sz w:val="24"/>
          <w:szCs w:val="24"/>
          <w:bdr w:val="none" w:sz="0" w:space="0" w:color="auto" w:frame="1"/>
          <w:shd w:val="clear" w:color="auto" w:fill="FFFFFF"/>
          <w:lang w:eastAsia="cs-CZ"/>
        </w:rPr>
      </w:pPr>
    </w:p>
    <w:p w14:paraId="359E272F" w14:textId="77777777" w:rsidR="008B1F21" w:rsidRPr="00C70785" w:rsidRDefault="008B1F21" w:rsidP="008B1F21">
      <w:pPr>
        <w:pStyle w:val="Odstavecseseznamem"/>
        <w:numPr>
          <w:ilvl w:val="1"/>
          <w:numId w:val="26"/>
        </w:numPr>
        <w:spacing w:line="360" w:lineRule="auto"/>
        <w:jc w:val="both"/>
        <w:rPr>
          <w:rFonts w:cstheme="minorHAnsi"/>
          <w:b/>
          <w:bCs/>
          <w:sz w:val="24"/>
          <w:szCs w:val="24"/>
        </w:rPr>
      </w:pPr>
      <w:r w:rsidRPr="00C70785">
        <w:rPr>
          <w:rFonts w:cstheme="minorHAnsi"/>
          <w:b/>
          <w:bCs/>
          <w:sz w:val="24"/>
          <w:szCs w:val="24"/>
        </w:rPr>
        <w:t>Průměrné roční náklady</w:t>
      </w:r>
    </w:p>
    <w:p w14:paraId="0F51F970" w14:textId="77777777" w:rsidR="008B1F21" w:rsidRPr="00C70785" w:rsidRDefault="008B1F21" w:rsidP="008B1F21">
      <w:pPr>
        <w:spacing w:line="360" w:lineRule="auto"/>
        <w:ind w:firstLine="708"/>
        <w:jc w:val="both"/>
        <w:rPr>
          <w:rFonts w:cstheme="minorHAnsi"/>
          <w:sz w:val="24"/>
          <w:szCs w:val="24"/>
        </w:rPr>
      </w:pPr>
      <w:r w:rsidRPr="00C70785">
        <w:rPr>
          <w:rFonts w:cstheme="minorHAnsi"/>
          <w:sz w:val="24"/>
          <w:szCs w:val="24"/>
        </w:rPr>
        <w:t>Průměrné roční náklady – základní funkcí této metody je srovnání průměrných ročních nákladů u těch investičních projektů, které mají stejný rozsah v oblasti ceny, kvality a objemu produkce. Nejčastější využití je poté u obnovovacích investic. Ve výsledku je poté vhodnější ta varianta, která má nejnižší náklady. Vzorec pro využití metody průměrných ročních nákladů:</w:t>
      </w:r>
    </w:p>
    <w:p w14:paraId="56DAFC7A" w14:textId="77777777" w:rsidR="008B1F21" w:rsidRPr="00C70785" w:rsidRDefault="008B1F21" w:rsidP="008B1F21">
      <w:pPr>
        <w:spacing w:line="360" w:lineRule="auto"/>
        <w:jc w:val="both"/>
        <w:rPr>
          <w:rStyle w:val="t"/>
          <w:rFonts w:cstheme="minorHAnsi"/>
          <w:color w:val="000000"/>
          <w:sz w:val="24"/>
          <w:szCs w:val="24"/>
          <w:bdr w:val="none" w:sz="0" w:space="0" w:color="auto" w:frame="1"/>
          <w:shd w:val="clear" w:color="auto" w:fill="FFFFFF"/>
        </w:rPr>
      </w:pPr>
      <w:r w:rsidRPr="00C70785">
        <w:rPr>
          <w:rStyle w:val="t"/>
          <w:rFonts w:cstheme="minorHAnsi"/>
          <w:color w:val="000000"/>
          <w:sz w:val="24"/>
          <w:szCs w:val="24"/>
          <w:bdr w:val="none" w:sz="0" w:space="0" w:color="auto" w:frame="1"/>
          <w:shd w:val="clear" w:color="auto" w:fill="FFFFFF"/>
        </w:rPr>
        <w:t>Průměrné roční náklady = roční odpisy + požadovaná výnosnost kapitálový výdaj x ostatní provozní+ náklady (bez odpisů)</w:t>
      </w:r>
    </w:p>
    <w:p w14:paraId="2A14B667" w14:textId="77777777" w:rsidR="008B1F21" w:rsidRPr="00C70785" w:rsidRDefault="008B1F21" w:rsidP="008B1F21">
      <w:pPr>
        <w:spacing w:line="360" w:lineRule="auto"/>
        <w:jc w:val="both"/>
        <w:rPr>
          <w:rStyle w:val="t"/>
          <w:rFonts w:cstheme="minorHAnsi"/>
          <w:i/>
          <w:iCs/>
          <w:color w:val="000000"/>
          <w:sz w:val="24"/>
          <w:szCs w:val="24"/>
          <w:bdr w:val="none" w:sz="0" w:space="0" w:color="auto" w:frame="1"/>
          <w:shd w:val="clear" w:color="auto" w:fill="FFFFFF"/>
        </w:rPr>
      </w:pPr>
      <w:r w:rsidRPr="00C70785">
        <w:rPr>
          <w:rStyle w:val="t"/>
          <w:rFonts w:cstheme="minorHAnsi"/>
          <w:i/>
          <w:iCs/>
          <w:color w:val="000000"/>
          <w:sz w:val="24"/>
          <w:szCs w:val="24"/>
          <w:bdr w:val="none" w:sz="0" w:space="0" w:color="auto" w:frame="1"/>
          <w:shd w:val="clear" w:color="auto" w:fill="FFFFFF"/>
        </w:rPr>
        <w:t>Příklad</w:t>
      </w:r>
      <w:r>
        <w:rPr>
          <w:rStyle w:val="t"/>
          <w:rFonts w:cstheme="minorHAnsi"/>
          <w:i/>
          <w:iCs/>
          <w:color w:val="000000"/>
          <w:sz w:val="24"/>
          <w:szCs w:val="24"/>
          <w:bdr w:val="none" w:sz="0" w:space="0" w:color="auto" w:frame="1"/>
          <w:shd w:val="clear" w:color="auto" w:fill="FFFFFF"/>
        </w:rPr>
        <w:t xml:space="preserve"> 8</w:t>
      </w:r>
    </w:p>
    <w:p w14:paraId="77A65E56" w14:textId="77777777" w:rsidR="008B1F21" w:rsidRPr="00C70785" w:rsidRDefault="008B1F21" w:rsidP="008B1F21">
      <w:pPr>
        <w:spacing w:line="360" w:lineRule="auto"/>
        <w:rPr>
          <w:rStyle w:val="t"/>
          <w:rFonts w:cstheme="minorHAnsi"/>
          <w:color w:val="000000"/>
          <w:sz w:val="24"/>
          <w:szCs w:val="24"/>
          <w:bdr w:val="none" w:sz="0" w:space="0" w:color="auto" w:frame="1"/>
          <w:shd w:val="clear" w:color="auto" w:fill="FFFFFF"/>
        </w:rPr>
      </w:pPr>
      <w:r w:rsidRPr="00C70785">
        <w:rPr>
          <w:rStyle w:val="t"/>
          <w:rFonts w:cstheme="minorHAnsi"/>
          <w:color w:val="000000"/>
          <w:sz w:val="24"/>
          <w:szCs w:val="24"/>
          <w:bdr w:val="none" w:sz="0" w:space="0" w:color="auto" w:frame="1"/>
          <w:shd w:val="clear" w:color="auto" w:fill="FFFFFF"/>
        </w:rPr>
        <w:t xml:space="preserve">Zdroj: </w:t>
      </w:r>
      <w:hyperlink r:id="rId7" w:history="1">
        <w:r w:rsidRPr="00C70785">
          <w:rPr>
            <w:rStyle w:val="Hypertextovodkaz"/>
            <w:rFonts w:cstheme="minorHAnsi"/>
            <w:color w:val="auto"/>
            <w:bdr w:val="none" w:sz="0" w:space="0" w:color="auto" w:frame="1"/>
            <w:shd w:val="clear" w:color="auto" w:fill="FFFFFF"/>
          </w:rPr>
          <w:t>https://beneslenka.webnode.cz/v-semestr/manazerske-finance/efektivnost-investicnich-projektu/</w:t>
        </w:r>
      </w:hyperlink>
      <w:r w:rsidRPr="00C70785">
        <w:rPr>
          <w:rStyle w:val="t"/>
          <w:rFonts w:cstheme="minorHAnsi"/>
          <w:sz w:val="24"/>
          <w:szCs w:val="24"/>
          <w:bdr w:val="none" w:sz="0" w:space="0" w:color="auto" w:frame="1"/>
          <w:shd w:val="clear" w:color="auto" w:fill="FFFFFF"/>
        </w:rPr>
        <w:t xml:space="preserve"> </w:t>
      </w:r>
    </w:p>
    <w:p w14:paraId="447E100A" w14:textId="77777777" w:rsidR="008B1F21" w:rsidRPr="00C70785" w:rsidRDefault="008B1F21" w:rsidP="008B1F21">
      <w:pPr>
        <w:spacing w:after="0" w:line="360" w:lineRule="auto"/>
        <w:jc w:val="both"/>
        <w:rPr>
          <w:rFonts w:eastAsia="Times New Roman" w:cstheme="minorHAnsi"/>
          <w:sz w:val="24"/>
          <w:szCs w:val="24"/>
          <w:lang w:eastAsia="cs-CZ"/>
        </w:rPr>
      </w:pPr>
      <w:r w:rsidRPr="00C70785">
        <w:rPr>
          <w:rFonts w:eastAsia="Times New Roman" w:cstheme="minorHAnsi"/>
          <w:sz w:val="24"/>
          <w:szCs w:val="24"/>
          <w:lang w:eastAsia="cs-CZ"/>
        </w:rPr>
        <w:t>Vypočítejte průměrné roční náklady dvou investičních projektů na základě následujících údajů:</w:t>
      </w:r>
    </w:p>
    <w:p w14:paraId="333A20C8" w14:textId="77777777" w:rsidR="008B1F21" w:rsidRPr="00C70785" w:rsidRDefault="008B1F21" w:rsidP="008B1F21">
      <w:pPr>
        <w:spacing w:after="0" w:line="360" w:lineRule="auto"/>
        <w:ind w:left="720" w:hanging="360"/>
        <w:jc w:val="both"/>
        <w:rPr>
          <w:rFonts w:eastAsia="Times New Roman" w:cstheme="minorHAnsi"/>
          <w:sz w:val="24"/>
          <w:szCs w:val="24"/>
          <w:lang w:eastAsia="cs-CZ"/>
        </w:rPr>
      </w:pPr>
      <w:r w:rsidRPr="00C70785">
        <w:rPr>
          <w:rFonts w:eastAsia="Times New Roman" w:cstheme="minorHAnsi"/>
          <w:sz w:val="24"/>
          <w:szCs w:val="24"/>
          <w:lang w:eastAsia="cs-CZ"/>
        </w:rPr>
        <w:t>a)       Projekt A</w:t>
      </w:r>
    </w:p>
    <w:p w14:paraId="580867A1" w14:textId="77777777" w:rsidR="008B1F21" w:rsidRPr="00C70785" w:rsidRDefault="008B1F21" w:rsidP="008B1F21">
      <w:pPr>
        <w:spacing w:after="0" w:line="360" w:lineRule="auto"/>
        <w:ind w:left="720"/>
        <w:jc w:val="both"/>
        <w:rPr>
          <w:rFonts w:eastAsia="Times New Roman" w:cstheme="minorHAnsi"/>
          <w:sz w:val="24"/>
          <w:szCs w:val="24"/>
          <w:lang w:eastAsia="cs-CZ"/>
        </w:rPr>
      </w:pPr>
      <w:r w:rsidRPr="00C70785">
        <w:rPr>
          <w:rFonts w:eastAsia="Times New Roman" w:cstheme="minorHAnsi"/>
          <w:sz w:val="24"/>
          <w:szCs w:val="24"/>
          <w:lang w:eastAsia="cs-CZ"/>
        </w:rPr>
        <w:t>Diskontované náklady projektu =&gt; 2 055 500 Kč</w:t>
      </w:r>
    </w:p>
    <w:p w14:paraId="557C768F" w14:textId="77777777" w:rsidR="008B1F21" w:rsidRPr="00C70785" w:rsidRDefault="008B1F21" w:rsidP="008B1F21">
      <w:pPr>
        <w:spacing w:after="0" w:line="360" w:lineRule="auto"/>
        <w:ind w:left="720"/>
        <w:jc w:val="both"/>
        <w:rPr>
          <w:rFonts w:eastAsia="Times New Roman" w:cstheme="minorHAnsi"/>
          <w:sz w:val="24"/>
          <w:szCs w:val="24"/>
          <w:lang w:eastAsia="cs-CZ"/>
        </w:rPr>
      </w:pPr>
      <w:r w:rsidRPr="00C70785">
        <w:rPr>
          <w:rFonts w:eastAsia="Times New Roman" w:cstheme="minorHAnsi"/>
          <w:sz w:val="24"/>
          <w:szCs w:val="24"/>
          <w:lang w:eastAsia="cs-CZ"/>
        </w:rPr>
        <w:t>Životnost projektu =&gt; 6 let</w:t>
      </w:r>
    </w:p>
    <w:p w14:paraId="22DD3B72" w14:textId="77777777" w:rsidR="008B1F21" w:rsidRPr="00C70785" w:rsidRDefault="008B1F21" w:rsidP="008B1F21">
      <w:pPr>
        <w:spacing w:after="0" w:line="360" w:lineRule="auto"/>
        <w:ind w:left="720"/>
        <w:jc w:val="both"/>
        <w:rPr>
          <w:rFonts w:eastAsia="Times New Roman" w:cstheme="minorHAnsi"/>
          <w:sz w:val="24"/>
          <w:szCs w:val="24"/>
          <w:lang w:eastAsia="cs-CZ"/>
        </w:rPr>
      </w:pPr>
      <w:r w:rsidRPr="00C70785">
        <w:rPr>
          <w:rFonts w:eastAsia="Times New Roman" w:cstheme="minorHAnsi"/>
          <w:sz w:val="24"/>
          <w:szCs w:val="24"/>
          <w:lang w:eastAsia="cs-CZ"/>
        </w:rPr>
        <w:t>Úrok 12 %</w:t>
      </w:r>
    </w:p>
    <w:p w14:paraId="1C3E42AF" w14:textId="77777777" w:rsidR="008B1F21" w:rsidRPr="00C70785" w:rsidRDefault="008B1F21" w:rsidP="008B1F21">
      <w:pPr>
        <w:spacing w:after="0" w:line="360" w:lineRule="auto"/>
        <w:ind w:left="720" w:hanging="360"/>
        <w:jc w:val="both"/>
        <w:rPr>
          <w:rFonts w:eastAsia="Times New Roman" w:cstheme="minorHAnsi"/>
          <w:sz w:val="24"/>
          <w:szCs w:val="24"/>
          <w:lang w:eastAsia="cs-CZ"/>
        </w:rPr>
      </w:pPr>
      <w:r w:rsidRPr="00C70785">
        <w:rPr>
          <w:rFonts w:eastAsia="Times New Roman" w:cstheme="minorHAnsi"/>
          <w:sz w:val="24"/>
          <w:szCs w:val="24"/>
          <w:lang w:eastAsia="cs-CZ"/>
        </w:rPr>
        <w:t>b)       Projekt B</w:t>
      </w:r>
    </w:p>
    <w:p w14:paraId="1B90E4E1" w14:textId="77777777" w:rsidR="008B1F21" w:rsidRPr="00C70785" w:rsidRDefault="008B1F21" w:rsidP="008B1F21">
      <w:pPr>
        <w:spacing w:after="0" w:line="360" w:lineRule="auto"/>
        <w:ind w:left="720"/>
        <w:jc w:val="both"/>
        <w:rPr>
          <w:rFonts w:eastAsia="Times New Roman" w:cstheme="minorHAnsi"/>
          <w:sz w:val="24"/>
          <w:szCs w:val="24"/>
          <w:lang w:eastAsia="cs-CZ"/>
        </w:rPr>
      </w:pPr>
      <w:r w:rsidRPr="00C70785">
        <w:rPr>
          <w:rFonts w:eastAsia="Times New Roman" w:cstheme="minorHAnsi"/>
          <w:sz w:val="24"/>
          <w:szCs w:val="24"/>
          <w:lang w:eastAsia="cs-CZ"/>
        </w:rPr>
        <w:t>Diskontované náklady projektu =&gt; 3 277 000 Kč</w:t>
      </w:r>
    </w:p>
    <w:p w14:paraId="20A95326" w14:textId="77777777" w:rsidR="008B1F21" w:rsidRPr="00C70785" w:rsidRDefault="008B1F21" w:rsidP="008B1F21">
      <w:pPr>
        <w:spacing w:after="0" w:line="360" w:lineRule="auto"/>
        <w:ind w:left="720"/>
        <w:jc w:val="both"/>
        <w:rPr>
          <w:rFonts w:eastAsia="Times New Roman" w:cstheme="minorHAnsi"/>
          <w:sz w:val="24"/>
          <w:szCs w:val="24"/>
          <w:lang w:eastAsia="cs-CZ"/>
        </w:rPr>
      </w:pPr>
      <w:r w:rsidRPr="00C70785">
        <w:rPr>
          <w:rFonts w:eastAsia="Times New Roman" w:cstheme="minorHAnsi"/>
          <w:sz w:val="24"/>
          <w:szCs w:val="24"/>
          <w:lang w:eastAsia="cs-CZ"/>
        </w:rPr>
        <w:t>Životnost projektu =&gt; 10 let</w:t>
      </w:r>
    </w:p>
    <w:p w14:paraId="1AE79041" w14:textId="77777777" w:rsidR="008B1F21" w:rsidRPr="00C70785" w:rsidRDefault="008B1F21" w:rsidP="008B1F21">
      <w:pPr>
        <w:spacing w:after="0" w:line="360" w:lineRule="auto"/>
        <w:ind w:left="720"/>
        <w:jc w:val="both"/>
        <w:rPr>
          <w:rFonts w:eastAsia="Times New Roman" w:cstheme="minorHAnsi"/>
          <w:sz w:val="24"/>
          <w:szCs w:val="24"/>
          <w:lang w:eastAsia="cs-CZ"/>
        </w:rPr>
      </w:pPr>
      <w:r w:rsidRPr="00C70785">
        <w:rPr>
          <w:rFonts w:eastAsia="Times New Roman" w:cstheme="minorHAnsi"/>
          <w:sz w:val="24"/>
          <w:szCs w:val="24"/>
          <w:lang w:eastAsia="cs-CZ"/>
        </w:rPr>
        <w:t>Úrok 12%</w:t>
      </w:r>
    </w:p>
    <w:p w14:paraId="4095D0F9" w14:textId="77777777" w:rsidR="008B1F21" w:rsidRPr="00C70785" w:rsidRDefault="008B1F21" w:rsidP="008B1F21">
      <w:pPr>
        <w:spacing w:after="0" w:line="360" w:lineRule="auto"/>
        <w:jc w:val="both"/>
        <w:rPr>
          <w:rFonts w:eastAsia="Times New Roman" w:cstheme="minorHAnsi"/>
          <w:sz w:val="24"/>
          <w:szCs w:val="24"/>
          <w:lang w:eastAsia="cs-CZ"/>
        </w:rPr>
      </w:pPr>
      <w:r w:rsidRPr="00C70785">
        <w:rPr>
          <w:rFonts w:eastAsia="Times New Roman" w:cstheme="minorHAnsi"/>
          <w:sz w:val="24"/>
          <w:szCs w:val="24"/>
          <w:lang w:eastAsia="cs-CZ"/>
        </w:rPr>
        <w:t>Rozhodněte o jejich výhodnosti</w:t>
      </w:r>
    </w:p>
    <w:p w14:paraId="4E7EC59C" w14:textId="77777777" w:rsidR="008B1F21" w:rsidRPr="00C70785" w:rsidRDefault="008B1F21" w:rsidP="008B1F21">
      <w:pPr>
        <w:spacing w:after="0" w:line="360" w:lineRule="auto"/>
        <w:jc w:val="both"/>
        <w:rPr>
          <w:rFonts w:eastAsia="Times New Roman" w:cstheme="minorHAnsi"/>
          <w:i/>
          <w:iCs/>
          <w:sz w:val="24"/>
          <w:szCs w:val="24"/>
          <w:lang w:eastAsia="cs-CZ"/>
        </w:rPr>
      </w:pPr>
      <w:r w:rsidRPr="00C70785">
        <w:rPr>
          <w:rFonts w:eastAsia="Times New Roman" w:cstheme="minorHAnsi"/>
          <w:i/>
          <w:iCs/>
          <w:sz w:val="24"/>
          <w:szCs w:val="24"/>
          <w:lang w:eastAsia="cs-CZ"/>
        </w:rPr>
        <w:t>Řešení</w:t>
      </w:r>
    </w:p>
    <w:p w14:paraId="706FD3C0" w14:textId="77777777" w:rsidR="008B1F21" w:rsidRPr="00C70785" w:rsidRDefault="008B1F21" w:rsidP="008B1F21">
      <w:pPr>
        <w:spacing w:after="0" w:line="360" w:lineRule="auto"/>
        <w:jc w:val="both"/>
        <w:rPr>
          <w:rFonts w:eastAsia="Times New Roman" w:cstheme="minorHAnsi"/>
          <w:sz w:val="24"/>
          <w:szCs w:val="24"/>
          <w:lang w:eastAsia="cs-CZ"/>
        </w:rPr>
      </w:pPr>
      <w:r w:rsidRPr="00C70785">
        <w:rPr>
          <w:rFonts w:eastAsia="Times New Roman" w:cstheme="minorHAnsi"/>
          <w:sz w:val="24"/>
          <w:szCs w:val="24"/>
          <w:lang w:eastAsia="cs-CZ"/>
        </w:rPr>
        <w:t>Projekt A</w:t>
      </w:r>
    </w:p>
    <w:p w14:paraId="0D1B640A" w14:textId="77777777" w:rsidR="008B1F21" w:rsidRPr="00C70785" w:rsidRDefault="008B1F21" w:rsidP="008B1F21">
      <w:pPr>
        <w:spacing w:after="0" w:line="360" w:lineRule="auto"/>
        <w:jc w:val="both"/>
        <w:rPr>
          <w:rFonts w:eastAsia="Times New Roman" w:cstheme="minorHAnsi"/>
          <w:sz w:val="24"/>
          <w:szCs w:val="24"/>
          <w:lang w:eastAsia="cs-CZ"/>
        </w:rPr>
      </w:pPr>
      <w:r w:rsidRPr="00C70785">
        <w:rPr>
          <w:rFonts w:eastAsia="Times New Roman" w:cstheme="minorHAnsi"/>
          <w:sz w:val="24"/>
          <w:szCs w:val="24"/>
          <w:lang w:eastAsia="cs-CZ"/>
        </w:rPr>
        <w:t>Průměrné roční náklady =&gt; 2 055 500 x umořovatel (6 let, 12 %) = 2 055 500 x ((1,12</w:t>
      </w:r>
      <w:r w:rsidRPr="00C70785">
        <w:rPr>
          <w:rFonts w:eastAsia="Times New Roman" w:cstheme="minorHAnsi"/>
          <w:sz w:val="24"/>
          <w:szCs w:val="24"/>
          <w:vertAlign w:val="superscript"/>
          <w:lang w:eastAsia="cs-CZ"/>
        </w:rPr>
        <w:t>6</w:t>
      </w:r>
      <w:r w:rsidRPr="00C70785">
        <w:rPr>
          <w:rFonts w:eastAsia="Times New Roman" w:cstheme="minorHAnsi"/>
          <w:sz w:val="24"/>
          <w:szCs w:val="24"/>
          <w:lang w:eastAsia="cs-CZ"/>
        </w:rPr>
        <w:t> x 0,12) / (1,12</w:t>
      </w:r>
      <w:r w:rsidRPr="00C70785">
        <w:rPr>
          <w:rFonts w:eastAsia="Times New Roman" w:cstheme="minorHAnsi"/>
          <w:sz w:val="24"/>
          <w:szCs w:val="24"/>
          <w:vertAlign w:val="superscript"/>
          <w:lang w:eastAsia="cs-CZ"/>
        </w:rPr>
        <w:t>6</w:t>
      </w:r>
      <w:r w:rsidRPr="00C70785">
        <w:rPr>
          <w:rFonts w:eastAsia="Times New Roman" w:cstheme="minorHAnsi"/>
          <w:sz w:val="24"/>
          <w:szCs w:val="24"/>
          <w:lang w:eastAsia="cs-CZ"/>
        </w:rPr>
        <w:t xml:space="preserve"> – 1) = 2 055 500 x 0,24323 = </w:t>
      </w:r>
      <w:r w:rsidRPr="00C70785">
        <w:rPr>
          <w:rFonts w:eastAsia="Times New Roman" w:cstheme="minorHAnsi"/>
          <w:b/>
          <w:bCs/>
          <w:sz w:val="24"/>
          <w:szCs w:val="24"/>
          <w:lang w:eastAsia="cs-CZ"/>
        </w:rPr>
        <w:t>499 959,265</w:t>
      </w:r>
    </w:p>
    <w:p w14:paraId="6ED98DB3" w14:textId="77777777" w:rsidR="008B1F21" w:rsidRPr="00C70785" w:rsidRDefault="008B1F21" w:rsidP="008B1F21">
      <w:pPr>
        <w:spacing w:after="0" w:line="360" w:lineRule="auto"/>
        <w:jc w:val="both"/>
        <w:rPr>
          <w:rFonts w:eastAsia="Times New Roman" w:cstheme="minorHAnsi"/>
          <w:sz w:val="24"/>
          <w:szCs w:val="24"/>
          <w:lang w:eastAsia="cs-CZ"/>
        </w:rPr>
      </w:pPr>
      <w:r w:rsidRPr="00C70785">
        <w:rPr>
          <w:rFonts w:eastAsia="Times New Roman" w:cstheme="minorHAnsi"/>
          <w:sz w:val="24"/>
          <w:szCs w:val="24"/>
          <w:lang w:eastAsia="cs-CZ"/>
        </w:rPr>
        <w:t>Projekt B</w:t>
      </w:r>
    </w:p>
    <w:p w14:paraId="2B1E0377" w14:textId="77777777" w:rsidR="008B1F21" w:rsidRPr="00C70785" w:rsidRDefault="008B1F21" w:rsidP="008B1F21">
      <w:pPr>
        <w:spacing w:after="0" w:line="360" w:lineRule="auto"/>
        <w:jc w:val="both"/>
        <w:rPr>
          <w:rFonts w:eastAsia="Times New Roman" w:cstheme="minorHAnsi"/>
          <w:sz w:val="24"/>
          <w:szCs w:val="24"/>
          <w:lang w:eastAsia="cs-CZ"/>
        </w:rPr>
      </w:pPr>
      <w:r w:rsidRPr="00C70785">
        <w:rPr>
          <w:rFonts w:eastAsia="Times New Roman" w:cstheme="minorHAnsi"/>
          <w:sz w:val="24"/>
          <w:szCs w:val="24"/>
          <w:lang w:eastAsia="cs-CZ"/>
        </w:rPr>
        <w:t>Průměrné roční náklady =&gt; 3 277 000 x umořovatel (10 let, 12 %) = 3 277 000 x ((1,12</w:t>
      </w:r>
      <w:r w:rsidRPr="00C70785">
        <w:rPr>
          <w:rFonts w:eastAsia="Times New Roman" w:cstheme="minorHAnsi"/>
          <w:sz w:val="24"/>
          <w:szCs w:val="24"/>
          <w:vertAlign w:val="superscript"/>
          <w:lang w:eastAsia="cs-CZ"/>
        </w:rPr>
        <w:t>10</w:t>
      </w:r>
      <w:r w:rsidRPr="00C70785">
        <w:rPr>
          <w:rFonts w:eastAsia="Times New Roman" w:cstheme="minorHAnsi"/>
          <w:sz w:val="24"/>
          <w:szCs w:val="24"/>
          <w:lang w:eastAsia="cs-CZ"/>
        </w:rPr>
        <w:t> x 0,12) / (1,12</w:t>
      </w:r>
      <w:r w:rsidRPr="00C70785">
        <w:rPr>
          <w:rFonts w:eastAsia="Times New Roman" w:cstheme="minorHAnsi"/>
          <w:sz w:val="24"/>
          <w:szCs w:val="24"/>
          <w:vertAlign w:val="superscript"/>
          <w:lang w:eastAsia="cs-CZ"/>
        </w:rPr>
        <w:t>10</w:t>
      </w:r>
      <w:r w:rsidRPr="00C70785">
        <w:rPr>
          <w:rFonts w:eastAsia="Times New Roman" w:cstheme="minorHAnsi"/>
          <w:sz w:val="24"/>
          <w:szCs w:val="24"/>
          <w:lang w:eastAsia="cs-CZ"/>
        </w:rPr>
        <w:t xml:space="preserve"> – 1) = 3 277 000 x 0,176984 = </w:t>
      </w:r>
      <w:r w:rsidRPr="00C70785">
        <w:rPr>
          <w:rFonts w:eastAsia="Times New Roman" w:cstheme="minorHAnsi"/>
          <w:b/>
          <w:bCs/>
          <w:sz w:val="24"/>
          <w:szCs w:val="24"/>
          <w:lang w:eastAsia="cs-CZ"/>
        </w:rPr>
        <w:t>579 976,568</w:t>
      </w:r>
    </w:p>
    <w:p w14:paraId="3977B463" w14:textId="77777777" w:rsidR="008B1F21" w:rsidRPr="00C70785" w:rsidRDefault="008B1F21" w:rsidP="008B1F21">
      <w:pPr>
        <w:spacing w:after="0" w:line="360" w:lineRule="auto"/>
        <w:jc w:val="both"/>
        <w:rPr>
          <w:rFonts w:eastAsia="Times New Roman" w:cstheme="minorHAnsi"/>
          <w:sz w:val="24"/>
          <w:szCs w:val="24"/>
          <w:lang w:eastAsia="cs-CZ"/>
        </w:rPr>
      </w:pPr>
    </w:p>
    <w:p w14:paraId="405010BB" w14:textId="77777777" w:rsidR="008B1F21" w:rsidRPr="00C70785" w:rsidRDefault="008B1F21" w:rsidP="008B1F21">
      <w:pPr>
        <w:spacing w:after="0" w:line="360" w:lineRule="auto"/>
        <w:jc w:val="both"/>
        <w:rPr>
          <w:rFonts w:eastAsia="Times New Roman" w:cstheme="minorHAnsi"/>
          <w:sz w:val="24"/>
          <w:szCs w:val="24"/>
          <w:lang w:eastAsia="cs-CZ"/>
        </w:rPr>
      </w:pPr>
      <w:r w:rsidRPr="00C70785">
        <w:rPr>
          <w:rFonts w:eastAsia="Times New Roman" w:cstheme="minorHAnsi"/>
          <w:sz w:val="24"/>
          <w:szCs w:val="24"/>
          <w:lang w:eastAsia="cs-CZ"/>
        </w:rPr>
        <w:t>Výhodnější je projekt A, který má nižší průměrné roční náklady.</w:t>
      </w:r>
    </w:p>
    <w:p w14:paraId="5A9EBCCF" w14:textId="77777777" w:rsidR="008B1F21" w:rsidRPr="00C70785" w:rsidRDefault="008B1F21" w:rsidP="008B1F21">
      <w:pPr>
        <w:pStyle w:val="Nadpis2"/>
        <w:numPr>
          <w:ilvl w:val="0"/>
          <w:numId w:val="26"/>
        </w:numPr>
        <w:spacing w:line="360" w:lineRule="auto"/>
        <w:ind w:left="720"/>
        <w:jc w:val="both"/>
        <w:rPr>
          <w:rFonts w:asciiTheme="minorHAnsi" w:eastAsia="Times New Roman" w:hAnsiTheme="minorHAnsi" w:cstheme="minorHAnsi"/>
          <w:b/>
          <w:bCs/>
          <w:lang w:eastAsia="cs-CZ"/>
        </w:rPr>
      </w:pPr>
      <w:r w:rsidRPr="00C70785">
        <w:rPr>
          <w:rFonts w:asciiTheme="minorHAnsi" w:eastAsia="Times New Roman" w:hAnsiTheme="minorHAnsi" w:cstheme="minorHAnsi"/>
          <w:b/>
          <w:bCs/>
          <w:lang w:eastAsia="cs-CZ"/>
        </w:rPr>
        <w:lastRenderedPageBreak/>
        <w:t xml:space="preserve">Závěrem </w:t>
      </w:r>
    </w:p>
    <w:p w14:paraId="16BE3A1A" w14:textId="77777777" w:rsidR="008B1F21" w:rsidRPr="00C70785" w:rsidRDefault="008B1F21" w:rsidP="008B1F21">
      <w:pPr>
        <w:spacing w:line="360" w:lineRule="auto"/>
        <w:ind w:firstLine="708"/>
        <w:jc w:val="both"/>
        <w:rPr>
          <w:rFonts w:eastAsia="Times New Roman" w:cstheme="minorHAnsi"/>
          <w:color w:val="000000"/>
          <w:sz w:val="24"/>
          <w:szCs w:val="24"/>
          <w:lang w:eastAsia="cs-CZ"/>
        </w:rPr>
      </w:pPr>
      <w:r w:rsidRPr="00C70785">
        <w:rPr>
          <w:rFonts w:eastAsia="Times New Roman" w:cstheme="minorHAnsi"/>
          <w:color w:val="000000"/>
          <w:sz w:val="24"/>
          <w:szCs w:val="24"/>
          <w:lang w:eastAsia="cs-CZ"/>
        </w:rPr>
        <w:t>Závěrem si shrneme, co tedy jsou statické metody. Statické metody se využívají v případě, kdy hodnocení investic hodnotí pouze finanční toky. Neohlíží se na faktor rizika a času. Jedná se o velmi snadné metody a jejich použití je vhodné pro prvotní informace o investičním projektu. Většinou se jedná o doplňující metody dynamických metod, které zahrnují faktor času a rizika. Mezi základní statické metody patří doba návratnosti, průměrná doba návratnosti, čistý příjem z investice, celkový příjem z investice, průměrný roční příjem z investice, průměrný roční procentní výnos (</w:t>
      </w:r>
      <w:proofErr w:type="spellStart"/>
      <w:r w:rsidRPr="00C70785">
        <w:rPr>
          <w:rFonts w:eastAsia="Times New Roman" w:cstheme="minorHAnsi"/>
          <w:color w:val="000000"/>
          <w:sz w:val="24"/>
          <w:szCs w:val="24"/>
          <w:lang w:eastAsia="cs-CZ"/>
        </w:rPr>
        <w:t>Scholleová</w:t>
      </w:r>
      <w:proofErr w:type="spellEnd"/>
      <w:r w:rsidRPr="00C70785">
        <w:rPr>
          <w:rFonts w:eastAsia="Times New Roman" w:cstheme="minorHAnsi"/>
          <w:color w:val="000000"/>
          <w:sz w:val="24"/>
          <w:szCs w:val="24"/>
          <w:lang w:eastAsia="cs-CZ"/>
        </w:rPr>
        <w:t xml:space="preserve">, 2012). </w:t>
      </w:r>
    </w:p>
    <w:p w14:paraId="616F519B" w14:textId="77777777" w:rsidR="00922709" w:rsidRPr="008B1F21" w:rsidRDefault="00922709" w:rsidP="008B1F21"/>
    <w:sectPr w:rsidR="00922709" w:rsidRPr="008B1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4270"/>
    <w:multiLevelType w:val="hybridMultilevel"/>
    <w:tmpl w:val="0686B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CF0AD2"/>
    <w:multiLevelType w:val="hybridMultilevel"/>
    <w:tmpl w:val="7954F444"/>
    <w:lvl w:ilvl="0" w:tplc="0405000F">
      <w:start w:val="1"/>
      <w:numFmt w:val="decimal"/>
      <w:lvlText w:val="%1."/>
      <w:lvlJc w:val="left"/>
      <w:pPr>
        <w:ind w:left="1485" w:hanging="360"/>
      </w:p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2" w15:restartNumberingAfterBreak="0">
    <w:nsid w:val="11466814"/>
    <w:multiLevelType w:val="hybridMultilevel"/>
    <w:tmpl w:val="4A866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B17029"/>
    <w:multiLevelType w:val="hybridMultilevel"/>
    <w:tmpl w:val="683409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B25827"/>
    <w:multiLevelType w:val="hybridMultilevel"/>
    <w:tmpl w:val="409AC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B41AFE"/>
    <w:multiLevelType w:val="hybridMultilevel"/>
    <w:tmpl w:val="47C6EA02"/>
    <w:lvl w:ilvl="0" w:tplc="A7A02EFE">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261C362D"/>
    <w:multiLevelType w:val="hybridMultilevel"/>
    <w:tmpl w:val="35F0C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71C1328"/>
    <w:multiLevelType w:val="hybridMultilevel"/>
    <w:tmpl w:val="B10CC2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00B4087"/>
    <w:multiLevelType w:val="hybridMultilevel"/>
    <w:tmpl w:val="4FCCB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FA73AB"/>
    <w:multiLevelType w:val="hybridMultilevel"/>
    <w:tmpl w:val="71CAF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100B84"/>
    <w:multiLevelType w:val="hybridMultilevel"/>
    <w:tmpl w:val="4C720252"/>
    <w:lvl w:ilvl="0" w:tplc="0DF27F0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F8A56FA"/>
    <w:multiLevelType w:val="hybridMultilevel"/>
    <w:tmpl w:val="446687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0BE7A2C"/>
    <w:multiLevelType w:val="hybridMultilevel"/>
    <w:tmpl w:val="6D0AAEF0"/>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3D716B"/>
    <w:multiLevelType w:val="hybridMultilevel"/>
    <w:tmpl w:val="EA207F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9005208"/>
    <w:multiLevelType w:val="hybridMultilevel"/>
    <w:tmpl w:val="68421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530C05"/>
    <w:multiLevelType w:val="multilevel"/>
    <w:tmpl w:val="AB346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9349D2"/>
    <w:multiLevelType w:val="multilevel"/>
    <w:tmpl w:val="A3324134"/>
    <w:lvl w:ilvl="0">
      <w:start w:val="1"/>
      <w:numFmt w:val="decimal"/>
      <w:lvlText w:val="%1."/>
      <w:lvlJc w:val="left"/>
      <w:pPr>
        <w:ind w:left="420" w:hanging="360"/>
      </w:pPr>
      <w:rPr>
        <w:rFonts w:hint="default"/>
      </w:rPr>
    </w:lvl>
    <w:lvl w:ilvl="1">
      <w:start w:val="1"/>
      <w:numFmt w:val="decimal"/>
      <w:isLgl/>
      <w:lvlText w:val="%1.%2."/>
      <w:lvlJc w:val="left"/>
      <w:pPr>
        <w:ind w:left="780" w:hanging="72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1140" w:hanging="108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500" w:hanging="144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860" w:hanging="1800"/>
      </w:pPr>
      <w:rPr>
        <w:rFonts w:hint="default"/>
      </w:rPr>
    </w:lvl>
    <w:lvl w:ilvl="8">
      <w:start w:val="1"/>
      <w:numFmt w:val="decimal"/>
      <w:isLgl/>
      <w:lvlText w:val="%1.%2.%3.%4.%5.%6.%7.%8.%9."/>
      <w:lvlJc w:val="left"/>
      <w:pPr>
        <w:ind w:left="1860" w:hanging="1800"/>
      </w:pPr>
      <w:rPr>
        <w:rFonts w:hint="default"/>
      </w:rPr>
    </w:lvl>
  </w:abstractNum>
  <w:abstractNum w:abstractNumId="17" w15:restartNumberingAfterBreak="0">
    <w:nsid w:val="4EA007C8"/>
    <w:multiLevelType w:val="hybridMultilevel"/>
    <w:tmpl w:val="0BE0D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9FF43E0"/>
    <w:multiLevelType w:val="hybridMultilevel"/>
    <w:tmpl w:val="915E67F8"/>
    <w:lvl w:ilvl="0" w:tplc="04050001">
      <w:start w:val="1"/>
      <w:numFmt w:val="bullet"/>
      <w:lvlText w:val=""/>
      <w:lvlJc w:val="left"/>
      <w:pPr>
        <w:ind w:left="720" w:hanging="360"/>
      </w:pPr>
      <w:rPr>
        <w:rFonts w:ascii="Symbol" w:hAnsi="Symbol" w:hint="default"/>
      </w:rPr>
    </w:lvl>
    <w:lvl w:ilvl="1" w:tplc="F1387A0E">
      <w:numFmt w:val="bullet"/>
      <w:lvlText w:val="-"/>
      <w:lvlJc w:val="left"/>
      <w:pPr>
        <w:ind w:left="1440" w:hanging="360"/>
      </w:pPr>
      <w:rPr>
        <w:rFonts w:ascii="Calibri" w:eastAsiaTheme="minorHAns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6F4D10"/>
    <w:multiLevelType w:val="multilevel"/>
    <w:tmpl w:val="493AB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7C794F"/>
    <w:multiLevelType w:val="hybridMultilevel"/>
    <w:tmpl w:val="34087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CD74375"/>
    <w:multiLevelType w:val="hybridMultilevel"/>
    <w:tmpl w:val="552AAD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12E3C87"/>
    <w:multiLevelType w:val="hybridMultilevel"/>
    <w:tmpl w:val="A9E67A8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15:restartNumberingAfterBreak="0">
    <w:nsid w:val="74DA236A"/>
    <w:multiLevelType w:val="hybridMultilevel"/>
    <w:tmpl w:val="8C7E40AE"/>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52C6E69"/>
    <w:multiLevelType w:val="hybridMultilevel"/>
    <w:tmpl w:val="02024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D311D49"/>
    <w:multiLevelType w:val="multilevel"/>
    <w:tmpl w:val="9020BCB6"/>
    <w:lvl w:ilvl="0">
      <w:start w:val="1"/>
      <w:numFmt w:val="decimal"/>
      <w:lvlText w:val="%1."/>
      <w:lvlJc w:val="left"/>
      <w:pPr>
        <w:ind w:left="720" w:hanging="360"/>
      </w:pPr>
      <w:rPr>
        <w:rFonts w:asciiTheme="majorHAnsi" w:hAnsiTheme="majorHAnsi" w:hint="default"/>
        <w:color w:val="2F5496" w:themeColor="accent1" w:themeShade="BF"/>
        <w:sz w:val="26"/>
      </w:rPr>
    </w:lvl>
    <w:lvl w:ilvl="1">
      <w:start w:val="1"/>
      <w:numFmt w:val="decimal"/>
      <w:isLgl/>
      <w:lvlText w:val="%1.%2."/>
      <w:lvlJc w:val="left"/>
      <w:pPr>
        <w:ind w:left="1080" w:hanging="72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440" w:hanging="108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800" w:hanging="144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2160" w:hanging="1800"/>
      </w:pPr>
      <w:rPr>
        <w:rFonts w:cstheme="minorBidi" w:hint="default"/>
      </w:rPr>
    </w:lvl>
    <w:lvl w:ilvl="8">
      <w:start w:val="1"/>
      <w:numFmt w:val="decimal"/>
      <w:isLgl/>
      <w:lvlText w:val="%1.%2.%3.%4.%5.%6.%7.%8.%9."/>
      <w:lvlJc w:val="left"/>
      <w:pPr>
        <w:ind w:left="2160" w:hanging="1800"/>
      </w:pPr>
      <w:rPr>
        <w:rFonts w:cstheme="minorBidi" w:hint="default"/>
      </w:rPr>
    </w:lvl>
  </w:abstractNum>
  <w:num w:numId="1" w16cid:durableId="1528326632">
    <w:abstractNumId w:val="7"/>
  </w:num>
  <w:num w:numId="2" w16cid:durableId="1181236298">
    <w:abstractNumId w:val="4"/>
  </w:num>
  <w:num w:numId="3" w16cid:durableId="658267325">
    <w:abstractNumId w:val="5"/>
  </w:num>
  <w:num w:numId="4" w16cid:durableId="190653731">
    <w:abstractNumId w:val="18"/>
  </w:num>
  <w:num w:numId="5" w16cid:durableId="1742173622">
    <w:abstractNumId w:val="0"/>
  </w:num>
  <w:num w:numId="6" w16cid:durableId="645158679">
    <w:abstractNumId w:val="3"/>
  </w:num>
  <w:num w:numId="7" w16cid:durableId="1291592763">
    <w:abstractNumId w:val="2"/>
  </w:num>
  <w:num w:numId="8" w16cid:durableId="523598132">
    <w:abstractNumId w:val="23"/>
  </w:num>
  <w:num w:numId="9" w16cid:durableId="522743923">
    <w:abstractNumId w:val="12"/>
  </w:num>
  <w:num w:numId="10" w16cid:durableId="943683134">
    <w:abstractNumId w:val="22"/>
  </w:num>
  <w:num w:numId="11" w16cid:durableId="2001228035">
    <w:abstractNumId w:val="20"/>
  </w:num>
  <w:num w:numId="12" w16cid:durableId="589432407">
    <w:abstractNumId w:val="9"/>
  </w:num>
  <w:num w:numId="13" w16cid:durableId="955789990">
    <w:abstractNumId w:val="1"/>
  </w:num>
  <w:num w:numId="14" w16cid:durableId="1093819597">
    <w:abstractNumId w:val="19"/>
  </w:num>
  <w:num w:numId="15" w16cid:durableId="2084524400">
    <w:abstractNumId w:val="13"/>
  </w:num>
  <w:num w:numId="16" w16cid:durableId="2032536193">
    <w:abstractNumId w:val="21"/>
  </w:num>
  <w:num w:numId="17" w16cid:durableId="411708540">
    <w:abstractNumId w:val="11"/>
  </w:num>
  <w:num w:numId="18" w16cid:durableId="982197558">
    <w:abstractNumId w:val="8"/>
  </w:num>
  <w:num w:numId="19" w16cid:durableId="1259675989">
    <w:abstractNumId w:val="17"/>
  </w:num>
  <w:num w:numId="20" w16cid:durableId="934287088">
    <w:abstractNumId w:val="14"/>
  </w:num>
  <w:num w:numId="21" w16cid:durableId="959920418">
    <w:abstractNumId w:val="10"/>
  </w:num>
  <w:num w:numId="22" w16cid:durableId="397439466">
    <w:abstractNumId w:val="6"/>
  </w:num>
  <w:num w:numId="23" w16cid:durableId="1718622779">
    <w:abstractNumId w:val="25"/>
  </w:num>
  <w:num w:numId="24" w16cid:durableId="453866049">
    <w:abstractNumId w:val="24"/>
  </w:num>
  <w:num w:numId="25" w16cid:durableId="2053571105">
    <w:abstractNumId w:val="15"/>
  </w:num>
  <w:num w:numId="26" w16cid:durableId="17977202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B2"/>
    <w:rsid w:val="002131B2"/>
    <w:rsid w:val="008B1F21"/>
    <w:rsid w:val="00922709"/>
    <w:rsid w:val="00C133DD"/>
    <w:rsid w:val="00D655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4ACE"/>
  <w15:chartTrackingRefBased/>
  <w15:docId w15:val="{5015856A-D60E-464E-B71E-030E52F3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1F21"/>
  </w:style>
  <w:style w:type="paragraph" w:styleId="Nadpis1">
    <w:name w:val="heading 1"/>
    <w:basedOn w:val="Normln"/>
    <w:next w:val="Normln"/>
    <w:link w:val="Nadpis1Char"/>
    <w:uiPriority w:val="9"/>
    <w:qFormat/>
    <w:rsid w:val="00213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2131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C133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131B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2131B2"/>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2131B2"/>
    <w:pPr>
      <w:ind w:left="720"/>
      <w:contextualSpacing/>
    </w:pPr>
  </w:style>
  <w:style w:type="character" w:styleId="Hypertextovodkaz">
    <w:name w:val="Hyperlink"/>
    <w:basedOn w:val="Standardnpsmoodstavce"/>
    <w:uiPriority w:val="99"/>
    <w:unhideWhenUsed/>
    <w:rsid w:val="002131B2"/>
    <w:rPr>
      <w:color w:val="0000FF"/>
      <w:u w:val="single"/>
    </w:rPr>
  </w:style>
  <w:style w:type="character" w:styleId="Odkaznakoment">
    <w:name w:val="annotation reference"/>
    <w:basedOn w:val="Standardnpsmoodstavce"/>
    <w:uiPriority w:val="99"/>
    <w:semiHidden/>
    <w:unhideWhenUsed/>
    <w:rsid w:val="002131B2"/>
    <w:rPr>
      <w:sz w:val="16"/>
      <w:szCs w:val="16"/>
    </w:rPr>
  </w:style>
  <w:style w:type="character" w:customStyle="1" w:styleId="Nadpis3Char">
    <w:name w:val="Nadpis 3 Char"/>
    <w:basedOn w:val="Standardnpsmoodstavce"/>
    <w:link w:val="Nadpis3"/>
    <w:uiPriority w:val="9"/>
    <w:rsid w:val="00C133DD"/>
    <w:rPr>
      <w:rFonts w:asciiTheme="majorHAnsi" w:eastAsiaTheme="majorEastAsia" w:hAnsiTheme="majorHAnsi" w:cstheme="majorBidi"/>
      <w:color w:val="1F3763" w:themeColor="accent1" w:themeShade="7F"/>
      <w:sz w:val="24"/>
      <w:szCs w:val="24"/>
    </w:rPr>
  </w:style>
  <w:style w:type="table" w:styleId="Mkatabulky">
    <w:name w:val="Table Grid"/>
    <w:basedOn w:val="Normlntabulka"/>
    <w:uiPriority w:val="39"/>
    <w:rsid w:val="00D65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
    <w:name w:val="Emphasis"/>
    <w:basedOn w:val="Standardnpsmoodstavce"/>
    <w:uiPriority w:val="20"/>
    <w:qFormat/>
    <w:rsid w:val="00D65506"/>
    <w:rPr>
      <w:i/>
      <w:iCs/>
    </w:rPr>
  </w:style>
  <w:style w:type="paragraph" w:customStyle="1" w:styleId="detail-odstavec">
    <w:name w:val="detail-odstavec"/>
    <w:basedOn w:val="Normln"/>
    <w:rsid w:val="00D6550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D6550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im">
    <w:name w:val="tim"/>
    <w:basedOn w:val="Standardnpsmoodstavce"/>
    <w:rsid w:val="008B1F21"/>
  </w:style>
  <w:style w:type="character" w:customStyle="1" w:styleId="t">
    <w:name w:val="t"/>
    <w:basedOn w:val="Standardnpsmoodstavce"/>
    <w:rsid w:val="008B1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eneslenka.webnode.cz/v-semestr/manazerske-finance/efektivnost-investicnich-projek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nexpert.e15.cz/tahak-spocitejte-si-vynos-investice" TargetMode="External"/><Relationship Id="rId5" Type="http://schemas.openxmlformats.org/officeDocument/2006/relationships/hyperlink" Target="https://www.projekty-inkapo.cz/doba-navratnost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951</Words>
  <Characters>5615</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2022-07-12T12:51:00Z</dcterms:created>
  <dcterms:modified xsi:type="dcterms:W3CDTF">2022-07-12T12:51:00Z</dcterms:modified>
</cp:coreProperties>
</file>