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CBA1" w14:textId="77777777" w:rsidR="003C0E12" w:rsidRPr="003C0E12" w:rsidRDefault="000411B3" w:rsidP="00CA6BBC">
      <w:pPr>
        <w:pStyle w:val="Nadpis1"/>
        <w:numPr>
          <w:ilvl w:val="0"/>
          <w:numId w:val="0"/>
        </w:numPr>
      </w:pPr>
      <w:r>
        <w:t xml:space="preserve">1 </w:t>
      </w:r>
      <w:r w:rsidR="00F76F11">
        <w:t xml:space="preserve">Vymezení pojmů nákup a zásobování </w:t>
      </w:r>
    </w:p>
    <w:p w14:paraId="5F24CBA2" w14:textId="77777777" w:rsidR="000411B3" w:rsidRDefault="000411B3" w:rsidP="003C0E12">
      <w:pPr>
        <w:pStyle w:val="Default"/>
        <w:rPr>
          <w:b/>
          <w:bCs/>
        </w:rPr>
      </w:pPr>
    </w:p>
    <w:p w14:paraId="5F24CBA3" w14:textId="77777777" w:rsidR="003C0E12" w:rsidRPr="00BF6E60" w:rsidRDefault="003C0E12" w:rsidP="000411B3">
      <w:pPr>
        <w:pStyle w:val="Default"/>
        <w:spacing w:line="276" w:lineRule="auto"/>
        <w:jc w:val="both"/>
        <w:rPr>
          <w:rFonts w:asciiTheme="majorHAnsi" w:hAnsiTheme="majorHAnsi" w:cs="Times New Roman"/>
        </w:rPr>
      </w:pPr>
      <w:r w:rsidRPr="00BF6E60">
        <w:rPr>
          <w:rFonts w:asciiTheme="majorHAnsi" w:hAnsiTheme="majorHAnsi" w:cs="Times New Roman"/>
          <w:b/>
          <w:bCs/>
        </w:rPr>
        <w:t xml:space="preserve">Nákupní činnost podniku </w:t>
      </w:r>
      <w:r w:rsidRPr="00BF6E60">
        <w:rPr>
          <w:rFonts w:asciiTheme="majorHAnsi" w:hAnsiTheme="majorHAnsi" w:cs="Times New Roman"/>
        </w:rPr>
        <w:t>zahrnujeme mezi obchodní činnosti, jejím smyslem je zajištění všech relevantních zdrojů pro realizaci podnikatelských cílů. Kvalita této činnosti má vliv na celkovou prosperitu podniku.</w:t>
      </w:r>
    </w:p>
    <w:p w14:paraId="5F24CBA4" w14:textId="77777777" w:rsidR="003C0E12" w:rsidRPr="00BF6E60" w:rsidRDefault="003C0E12" w:rsidP="000411B3">
      <w:pPr>
        <w:pStyle w:val="Default"/>
        <w:spacing w:line="276" w:lineRule="auto"/>
        <w:jc w:val="both"/>
        <w:rPr>
          <w:rFonts w:asciiTheme="majorHAnsi" w:hAnsiTheme="majorHAnsi"/>
        </w:rPr>
      </w:pPr>
      <w:r w:rsidRPr="00BF6E60">
        <w:rPr>
          <w:rFonts w:asciiTheme="majorHAnsi" w:hAnsiTheme="majorHAnsi" w:cs="Times New Roman"/>
        </w:rPr>
        <w:t xml:space="preserve"> </w:t>
      </w:r>
    </w:p>
    <w:p w14:paraId="5F24CBA5" w14:textId="77777777" w:rsidR="003C0E12" w:rsidRPr="00BF6E60" w:rsidRDefault="003C0E12" w:rsidP="00BF6E60">
      <w:pPr>
        <w:pStyle w:val="Default"/>
        <w:spacing w:line="276" w:lineRule="auto"/>
        <w:jc w:val="both"/>
        <w:rPr>
          <w:rFonts w:asciiTheme="majorHAnsi" w:hAnsiTheme="majorHAnsi" w:cs="Times New Roman"/>
        </w:rPr>
      </w:pPr>
      <w:r w:rsidRPr="00BF6E60">
        <w:rPr>
          <w:rFonts w:asciiTheme="majorHAnsi" w:hAnsiTheme="majorHAnsi" w:cs="Times New Roman"/>
          <w:b/>
          <w:bCs/>
        </w:rPr>
        <w:t>V širším pojetí</w:t>
      </w:r>
      <w:r w:rsidRPr="00BF6E60">
        <w:rPr>
          <w:rFonts w:asciiTheme="majorHAnsi" w:hAnsiTheme="majorHAnsi" w:cs="Times New Roman"/>
        </w:rPr>
        <w:t xml:space="preserve"> lze nákup charakterizovat jako soubor činností podniku souvisejících se stanovením potřeb materiálových zdrojů na zabezpečení předmětu činnosti podniku spojených s jejich obstaráváním, doprav</w:t>
      </w:r>
      <w:r w:rsidR="008E3DD7">
        <w:rPr>
          <w:rFonts w:asciiTheme="majorHAnsi" w:hAnsiTheme="majorHAnsi" w:cs="Times New Roman"/>
        </w:rPr>
        <w:t xml:space="preserve">ou, příjmem, distribucí vstupů, </w:t>
      </w:r>
      <w:r w:rsidRPr="00BF6E60">
        <w:rPr>
          <w:rFonts w:asciiTheme="majorHAnsi" w:hAnsiTheme="majorHAnsi" w:cs="Times New Roman"/>
        </w:rPr>
        <w:t>ří</w:t>
      </w:r>
      <w:r w:rsidR="008E3DD7">
        <w:rPr>
          <w:rFonts w:asciiTheme="majorHAnsi" w:hAnsiTheme="majorHAnsi" w:cs="Times New Roman"/>
        </w:rPr>
        <w:t xml:space="preserve">zením zásob a </w:t>
      </w:r>
      <w:r w:rsidRPr="00BF6E60">
        <w:rPr>
          <w:rFonts w:asciiTheme="majorHAnsi" w:hAnsiTheme="majorHAnsi" w:cs="Times New Roman"/>
        </w:rPr>
        <w:t xml:space="preserve">kontrolou a reklamací nekvalitních vstupů. </w:t>
      </w:r>
    </w:p>
    <w:p w14:paraId="5F24CBA6" w14:textId="77777777" w:rsidR="003C0E12" w:rsidRPr="00BF6E60" w:rsidRDefault="003C0E12" w:rsidP="00BF6E60">
      <w:pPr>
        <w:pStyle w:val="Default"/>
        <w:spacing w:line="276" w:lineRule="auto"/>
        <w:jc w:val="both"/>
        <w:rPr>
          <w:rFonts w:asciiTheme="majorHAnsi" w:hAnsiTheme="majorHAnsi" w:cs="Times New Roman"/>
        </w:rPr>
      </w:pPr>
    </w:p>
    <w:p w14:paraId="5F24CBA7" w14:textId="77777777" w:rsidR="003C0E12" w:rsidRPr="00BF6E60" w:rsidRDefault="003C0E12" w:rsidP="00BF6E60">
      <w:pPr>
        <w:pStyle w:val="Default"/>
        <w:spacing w:line="276" w:lineRule="auto"/>
        <w:jc w:val="both"/>
        <w:rPr>
          <w:rFonts w:asciiTheme="majorHAnsi" w:hAnsiTheme="majorHAnsi" w:cs="Times New Roman"/>
        </w:rPr>
      </w:pPr>
      <w:r w:rsidRPr="00BF6E60">
        <w:rPr>
          <w:rFonts w:asciiTheme="majorHAnsi" w:hAnsiTheme="majorHAnsi" w:cs="Times New Roman"/>
          <w:b/>
          <w:bCs/>
        </w:rPr>
        <w:t xml:space="preserve">Nákup </w:t>
      </w:r>
      <w:r w:rsidRPr="006A43DD">
        <w:rPr>
          <w:rFonts w:asciiTheme="majorHAnsi" w:hAnsiTheme="majorHAnsi" w:cs="Times New Roman"/>
        </w:rPr>
        <w:t>lz</w:t>
      </w:r>
      <w:r w:rsidRPr="00BF6E60">
        <w:rPr>
          <w:rFonts w:asciiTheme="majorHAnsi" w:hAnsiTheme="majorHAnsi" w:cs="Times New Roman"/>
          <w:b/>
          <w:bCs/>
        </w:rPr>
        <w:t xml:space="preserve">e </w:t>
      </w:r>
      <w:r w:rsidRPr="00BF6E60">
        <w:rPr>
          <w:rFonts w:asciiTheme="majorHAnsi" w:hAnsiTheme="majorHAnsi" w:cs="Times New Roman"/>
        </w:rPr>
        <w:t xml:space="preserve">chápat jako: </w:t>
      </w:r>
    </w:p>
    <w:p w14:paraId="5F24CBA8" w14:textId="77777777" w:rsidR="003C0E12" w:rsidRPr="00BF6E60" w:rsidRDefault="003C0E12" w:rsidP="00AC058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HAnsi" w:hAnsiTheme="majorHAnsi" w:cs="Times New Roman"/>
        </w:rPr>
      </w:pPr>
      <w:r w:rsidRPr="00BF6E60">
        <w:rPr>
          <w:rFonts w:asciiTheme="majorHAnsi" w:hAnsiTheme="majorHAnsi" w:cs="Times New Roman"/>
        </w:rPr>
        <w:t xml:space="preserve">Funkci – významnou součást podnikových aktivit; </w:t>
      </w:r>
    </w:p>
    <w:p w14:paraId="5F24CBA9" w14:textId="77777777" w:rsidR="003C0E12" w:rsidRPr="00BF6E60" w:rsidRDefault="003C0E12" w:rsidP="00AC058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HAnsi" w:hAnsiTheme="majorHAnsi" w:cs="Times New Roman"/>
        </w:rPr>
      </w:pPr>
      <w:r w:rsidRPr="00BF6E60">
        <w:rPr>
          <w:rFonts w:asciiTheme="majorHAnsi" w:hAnsiTheme="majorHAnsi" w:cs="Times New Roman"/>
        </w:rPr>
        <w:t xml:space="preserve">Proces – průběh nakládání s opatřovanými zdroji; </w:t>
      </w:r>
    </w:p>
    <w:p w14:paraId="5F24CBAA" w14:textId="77777777" w:rsidR="003C0E12" w:rsidRPr="00BF6E60" w:rsidRDefault="003C0E12" w:rsidP="00AC058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ajorHAnsi" w:hAnsiTheme="majorHAnsi" w:cs="Times New Roman"/>
        </w:rPr>
      </w:pPr>
      <w:r w:rsidRPr="00BF6E60">
        <w:rPr>
          <w:rFonts w:asciiTheme="majorHAnsi" w:hAnsiTheme="majorHAnsi" w:cs="Times New Roman"/>
        </w:rPr>
        <w:t xml:space="preserve">Organizační jednotku – útvar v podniku, který se nákupní činností zabývá. </w:t>
      </w:r>
    </w:p>
    <w:p w14:paraId="5F24CBAB" w14:textId="77777777" w:rsidR="003C0E12" w:rsidRPr="00BF6E60" w:rsidRDefault="003C0E12" w:rsidP="00BF6E60">
      <w:pPr>
        <w:pStyle w:val="Default"/>
        <w:spacing w:line="276" w:lineRule="auto"/>
        <w:jc w:val="both"/>
        <w:rPr>
          <w:rFonts w:asciiTheme="majorHAnsi" w:hAnsiTheme="majorHAnsi" w:cs="Times New Roman"/>
        </w:rPr>
      </w:pPr>
    </w:p>
    <w:p w14:paraId="5F24CBAC" w14:textId="77777777" w:rsidR="006D2625" w:rsidRPr="00BF6E60" w:rsidRDefault="006D2625" w:rsidP="00AC05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Funkce nákupu </w:t>
      </w:r>
    </w:p>
    <w:p w14:paraId="5F24CBAD" w14:textId="1086BFE2" w:rsidR="00FA321F" w:rsidRPr="00BF6E60" w:rsidRDefault="006D2625" w:rsidP="00BF6E6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>Účelem nákupu je zajišťování výrobních faktorů</w:t>
      </w:r>
      <w:r w:rsidR="00FA321F" w:rsidRPr="00BF6E60">
        <w:rPr>
          <w:rFonts w:asciiTheme="majorHAnsi" w:hAnsiTheme="majorHAnsi" w:cs="Times New Roman"/>
          <w:color w:val="000000"/>
          <w:sz w:val="24"/>
          <w:szCs w:val="24"/>
        </w:rPr>
        <w:t>:</w:t>
      </w: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 výrobních prostředků (stroje a zařízení), materiálů, vlastních služeb, nakupovaných služeb a práv v souladu s celkovými cíli podniku. </w:t>
      </w:r>
    </w:p>
    <w:p w14:paraId="3DD6F953" w14:textId="77777777" w:rsidR="00C86721" w:rsidRDefault="00C86721" w:rsidP="00BF6E6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5F24CBAE" w14:textId="74716906" w:rsidR="006D2625" w:rsidRPr="00BF6E60" w:rsidRDefault="006D2625" w:rsidP="00BF6E6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Základní funkcí nákupu </w:t>
      </w:r>
      <w:r w:rsidRPr="00BF6E60">
        <w:rPr>
          <w:rFonts w:asciiTheme="majorHAnsi" w:hAnsiTheme="majorHAnsi" w:cs="Times New Roman"/>
          <w:color w:val="000000"/>
          <w:sz w:val="24"/>
          <w:szCs w:val="24"/>
        </w:rPr>
        <w:t>je efektivní zabezpečení výrobních i</w:t>
      </w:r>
      <w:r w:rsidR="00FA321F"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 nevýrobních procesů v podniku </w:t>
      </w: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v potřebné kvalitě, množství, sortimentu, kvalitě, čase a místě. </w:t>
      </w:r>
    </w:p>
    <w:p w14:paraId="5F24CBAF" w14:textId="11277F8A" w:rsidR="00657D43" w:rsidRPr="00BF6E60" w:rsidRDefault="006D2625" w:rsidP="00BF6E6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>Pro funkci nákupu se používají různé pojmy – zásobování, opatřování</w:t>
      </w:r>
      <w:r w:rsidR="007F702D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14:paraId="5F24CBB0" w14:textId="77777777" w:rsidR="00657D43" w:rsidRPr="00BF6E60" w:rsidRDefault="00657D43" w:rsidP="00BF6E6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5F24CBB1" w14:textId="77777777" w:rsidR="00657D43" w:rsidRPr="00BF6E60" w:rsidRDefault="00657D43" w:rsidP="00BF6E6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Podnik je spojen s trhem na straně výstupu jako dodavatel, ale také na straně vstupu v postavení odběratele. Organizace nakupují materiál a zboží na průmyslových trzích. Jedná se o předmět směny, který není organizací spotřebován, ale dále prodán nebo zpracován ve výrobě“. </w:t>
      </w:r>
    </w:p>
    <w:p w14:paraId="5F24CBB2" w14:textId="4E59568D" w:rsidR="00657D43" w:rsidRDefault="00657D43" w:rsidP="00BF6E6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5F24CBB3" w14:textId="77777777" w:rsidR="00657D43" w:rsidRPr="00BF6E60" w:rsidRDefault="00657D43" w:rsidP="00BF6E6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Pojem trh je možné chápat dvojím způsobem jako: </w:t>
      </w:r>
    </w:p>
    <w:p w14:paraId="5F24CBB4" w14:textId="77777777" w:rsidR="00657D43" w:rsidRPr="00BF6E60" w:rsidRDefault="00657D43" w:rsidP="00AC058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81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opatřovací trh, </w:t>
      </w:r>
    </w:p>
    <w:p w14:paraId="5F24CBB5" w14:textId="77777777" w:rsidR="00657D43" w:rsidRPr="00BF6E60" w:rsidRDefault="00657D43" w:rsidP="00AC058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odbytový trh. </w:t>
      </w:r>
    </w:p>
    <w:p w14:paraId="5F24CBB6" w14:textId="77777777" w:rsidR="00657D43" w:rsidRPr="00BF6E60" w:rsidRDefault="00657D43" w:rsidP="00BF6E6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5F24CBB7" w14:textId="77777777" w:rsidR="00657D43" w:rsidRDefault="00657D43" w:rsidP="000F64CC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Na </w:t>
      </w:r>
      <w:r w:rsidRPr="00BF6E60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opatřovacím trhu </w:t>
      </w:r>
      <w:r w:rsidR="00436EBF" w:rsidRPr="00BF6E60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vystupuje </w:t>
      </w: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podnik v pozici poptávajícího – nakupuje produkční a finanční prostředky. Na </w:t>
      </w:r>
      <w:r w:rsidRPr="00BF6E60">
        <w:rPr>
          <w:rFonts w:asciiTheme="majorHAnsi" w:hAnsiTheme="majorHAnsi" w:cs="Times New Roman"/>
          <w:b/>
          <w:color w:val="000000"/>
          <w:sz w:val="24"/>
          <w:szCs w:val="24"/>
        </w:rPr>
        <w:t>odbytovém trhu</w:t>
      </w: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 je v pozici nabízejícího – prodává věcné statky a služby. </w:t>
      </w:r>
    </w:p>
    <w:p w14:paraId="5F24CBB8" w14:textId="77777777" w:rsidR="00CA6BBC" w:rsidRPr="00BF6E60" w:rsidRDefault="00CA6BBC" w:rsidP="00CA6BBC">
      <w:pPr>
        <w:pStyle w:val="Odstavecseseznamem"/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</w:p>
    <w:p w14:paraId="5F24CBB9" w14:textId="77777777" w:rsidR="00657D43" w:rsidRPr="00BF6E60" w:rsidRDefault="00657D43" w:rsidP="00AC05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Nákup jako proces </w:t>
      </w:r>
    </w:p>
    <w:p w14:paraId="5F24CBBA" w14:textId="77777777" w:rsidR="00BF6E60" w:rsidRDefault="00BF6E60" w:rsidP="00BF6E60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5F24CBBB" w14:textId="263B6E7A" w:rsidR="00657D43" w:rsidRPr="00BF6E60" w:rsidRDefault="00E130C6" w:rsidP="00BF6E60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 w:rsidRPr="005E7217">
        <w:rPr>
          <w:rFonts w:asciiTheme="majorHAnsi" w:hAnsiTheme="majorHAnsi" w:cs="Times New Roman"/>
          <w:bCs/>
          <w:color w:val="000000"/>
          <w:sz w:val="24"/>
          <w:szCs w:val="24"/>
        </w:rPr>
        <w:t>Se</w:t>
      </w: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skládá </w:t>
      </w:r>
      <w:r w:rsidR="00657D43"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z těchto dílčích fází: </w:t>
      </w:r>
    </w:p>
    <w:p w14:paraId="5F24CBBC" w14:textId="77777777" w:rsidR="00657D43" w:rsidRPr="00BF6E60" w:rsidRDefault="00E130C6" w:rsidP="00AC05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v</w:t>
      </w:r>
      <w:r w:rsidR="00657D43"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ymezení potřeby, </w:t>
      </w:r>
    </w:p>
    <w:p w14:paraId="5F24CBBD" w14:textId="77777777" w:rsidR="00657D43" w:rsidRPr="00BF6E60" w:rsidRDefault="00E130C6" w:rsidP="00AC05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lastRenderedPageBreak/>
        <w:t>k</w:t>
      </w:r>
      <w:r w:rsidR="00657D43"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ontakty s vnějším prostředím, </w:t>
      </w:r>
    </w:p>
    <w:p w14:paraId="5F24CBBE" w14:textId="77777777" w:rsidR="00657D43" w:rsidRPr="00BF6E60" w:rsidRDefault="00E130C6" w:rsidP="00AC05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řízení systémů dodavatelů a vztahů s dodavateli, </w:t>
      </w:r>
    </w:p>
    <w:p w14:paraId="5F24CBBF" w14:textId="77777777" w:rsidR="00657D43" w:rsidRPr="00BF6E60" w:rsidRDefault="00E130C6" w:rsidP="00AC05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logistické aktivity, </w:t>
      </w:r>
    </w:p>
    <w:p w14:paraId="5F24CBC0" w14:textId="77777777" w:rsidR="00657D43" w:rsidRPr="00BF6E60" w:rsidRDefault="00E130C6" w:rsidP="00AC058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vztah k dalším funkcím podniku. </w:t>
      </w:r>
    </w:p>
    <w:p w14:paraId="5F24CBC1" w14:textId="77777777" w:rsidR="00657D43" w:rsidRPr="00BF6E60" w:rsidRDefault="00657D43" w:rsidP="00BF6E60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color w:val="000000"/>
          <w:sz w:val="24"/>
          <w:szCs w:val="24"/>
        </w:rPr>
      </w:pPr>
    </w:p>
    <w:p w14:paraId="5F24CBC2" w14:textId="77777777" w:rsidR="00657D43" w:rsidRPr="00BF6E60" w:rsidRDefault="00657D43" w:rsidP="000411B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Nákup jako útvar v rámci organizační struktury podniku </w:t>
      </w:r>
    </w:p>
    <w:p w14:paraId="5F24CBC3" w14:textId="77777777" w:rsidR="00BF6E60" w:rsidRPr="00BF6E60" w:rsidRDefault="00657D43" w:rsidP="000411B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Funkcí nákupu je </w:t>
      </w:r>
      <w:r w:rsidR="00BF6E60" w:rsidRPr="00BF6E60">
        <w:rPr>
          <w:rFonts w:asciiTheme="majorHAnsi" w:hAnsiTheme="majorHAnsi" w:cs="Times New Roman"/>
          <w:color w:val="000000"/>
          <w:sz w:val="24"/>
          <w:szCs w:val="24"/>
        </w:rPr>
        <w:t>v</w:t>
      </w: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 podniku pověřen </w:t>
      </w:r>
      <w:r w:rsidRPr="00BF6E60">
        <w:rPr>
          <w:rFonts w:asciiTheme="majorHAnsi" w:hAnsiTheme="majorHAnsi" w:cs="Times New Roman"/>
          <w:b/>
          <w:bCs/>
          <w:color w:val="000000"/>
          <w:sz w:val="24"/>
          <w:szCs w:val="24"/>
        </w:rPr>
        <w:t>útvar nákupu</w:t>
      </w:r>
      <w:r w:rsidRPr="00BF6E60">
        <w:rPr>
          <w:rFonts w:asciiTheme="majorHAnsi" w:hAnsiTheme="majorHAnsi" w:cs="Times New Roman"/>
          <w:color w:val="000000"/>
          <w:sz w:val="24"/>
          <w:szCs w:val="24"/>
        </w:rPr>
        <w:t xml:space="preserve">. Úkoly a funkce útvaru nákupu závisejí na jeho začlenění v organizační struktuře podniku, na zaměření podniku a dalších faktorech např. na rozsahu a šíři nakupovaných vstupních prvků. </w:t>
      </w:r>
    </w:p>
    <w:p w14:paraId="5F24CBC4" w14:textId="77777777" w:rsidR="00BF6E60" w:rsidRPr="00BF6E60" w:rsidRDefault="00BF6E60" w:rsidP="000411B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5F24CBC5" w14:textId="510A15C3" w:rsidR="00657D43" w:rsidRDefault="00657D43" w:rsidP="000411B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BF6E60">
        <w:rPr>
          <w:rFonts w:asciiTheme="majorHAnsi" w:hAnsiTheme="majorHAnsi" w:cs="Times New Roman"/>
          <w:color w:val="000000"/>
          <w:sz w:val="24"/>
          <w:szCs w:val="24"/>
        </w:rPr>
        <w:t>Činnost útvaru nákupu je tím náročnější, čím větší je podíl a sortimentní náročnost nakupovaných zdrojů a čím větší nároky jsou kladeny na podnik na straně výstupu. Odpovědnost nákupu se zvyšuje také v závislosti na bohatosti a konkurenční diverzifikaci nákupního trhu, tedy m</w:t>
      </w:r>
      <w:r w:rsidR="000411B3">
        <w:rPr>
          <w:rFonts w:asciiTheme="majorHAnsi" w:hAnsiTheme="majorHAnsi" w:cs="Times New Roman"/>
          <w:color w:val="000000"/>
          <w:sz w:val="24"/>
          <w:szCs w:val="24"/>
        </w:rPr>
        <w:t>nožství nabízejících subjektů.</w:t>
      </w:r>
    </w:p>
    <w:p w14:paraId="0AF1B2B5" w14:textId="77777777" w:rsidR="001379C4" w:rsidRDefault="001379C4" w:rsidP="000411B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5F24CBC6" w14:textId="77777777" w:rsidR="00400D69" w:rsidRDefault="00400D69" w:rsidP="000411B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14:paraId="5F24CBC7" w14:textId="77777777" w:rsidR="00400D69" w:rsidRPr="00400D69" w:rsidRDefault="00400D69" w:rsidP="000411B3">
      <w:pPr>
        <w:autoSpaceDE w:val="0"/>
        <w:autoSpaceDN w:val="0"/>
        <w:adjustRightInd w:val="0"/>
        <w:spacing w:after="0"/>
        <w:jc w:val="both"/>
        <w:rPr>
          <w:rStyle w:val="tr"/>
          <w:rFonts w:asciiTheme="majorHAnsi" w:hAnsiTheme="majorHAnsi" w:cs="Open Sans"/>
          <w:b/>
          <w:color w:val="4F81BD" w:themeColor="accent1"/>
          <w:sz w:val="26"/>
          <w:szCs w:val="26"/>
          <w:shd w:val="clear" w:color="auto" w:fill="FFFFFF"/>
        </w:rPr>
      </w:pPr>
      <w:r w:rsidRPr="00400D69">
        <w:rPr>
          <w:rStyle w:val="tr"/>
          <w:rFonts w:asciiTheme="majorHAnsi" w:hAnsiTheme="majorHAnsi" w:cs="Open Sans"/>
          <w:b/>
          <w:color w:val="4F81BD" w:themeColor="accent1"/>
          <w:sz w:val="26"/>
          <w:szCs w:val="26"/>
          <w:shd w:val="clear" w:color="auto" w:fill="FFFFFF"/>
        </w:rPr>
        <w:t>2 Funkce a organizace podnikového nákupu</w:t>
      </w:r>
    </w:p>
    <w:p w14:paraId="5F24CBC8" w14:textId="77777777" w:rsidR="00400D69" w:rsidRDefault="00400D69" w:rsidP="00400D69">
      <w:pPr>
        <w:rPr>
          <w:rStyle w:val="tr"/>
          <w:rFonts w:asciiTheme="majorHAnsi" w:hAnsiTheme="majorHAnsi" w:cs="Open Sans"/>
          <w:color w:val="444444"/>
          <w:sz w:val="24"/>
          <w:szCs w:val="24"/>
          <w:shd w:val="clear" w:color="auto" w:fill="FFFFFF"/>
        </w:rPr>
      </w:pPr>
    </w:p>
    <w:p w14:paraId="5F24CBC9" w14:textId="77777777" w:rsidR="00400D69" w:rsidRDefault="00400D69" w:rsidP="00400D69">
      <w:pPr>
        <w:jc w:val="both"/>
        <w:rPr>
          <w:rStyle w:val="tr"/>
          <w:rFonts w:asciiTheme="majorHAnsi" w:hAnsiTheme="majorHAnsi" w:cs="Open Sans"/>
          <w:color w:val="444444"/>
          <w:sz w:val="24"/>
          <w:szCs w:val="24"/>
          <w:shd w:val="clear" w:color="auto" w:fill="FFFFFF"/>
        </w:rPr>
      </w:pPr>
      <w:r w:rsidRPr="00400D69">
        <w:rPr>
          <w:rStyle w:val="tr"/>
          <w:rFonts w:asciiTheme="majorHAnsi" w:hAnsiTheme="majorHAnsi" w:cs="Open Sans"/>
          <w:color w:val="444444"/>
          <w:sz w:val="24"/>
          <w:szCs w:val="24"/>
          <w:shd w:val="clear" w:color="auto" w:fill="FFFFFF"/>
        </w:rPr>
        <w:t xml:space="preserve">Základní </w:t>
      </w:r>
      <w:r w:rsidRPr="00C63A1C">
        <w:rPr>
          <w:rStyle w:val="tr"/>
          <w:rFonts w:asciiTheme="majorHAnsi" w:hAnsiTheme="majorHAnsi" w:cs="Open Sans"/>
          <w:b/>
          <w:color w:val="444444"/>
          <w:sz w:val="24"/>
          <w:szCs w:val="24"/>
          <w:shd w:val="clear" w:color="auto" w:fill="FFFFFF"/>
        </w:rPr>
        <w:t>funkcí nákupu</w:t>
      </w:r>
      <w:r w:rsidRPr="00400D69">
        <w:rPr>
          <w:rStyle w:val="tr"/>
          <w:rFonts w:asciiTheme="majorHAnsi" w:hAnsiTheme="majorHAnsi" w:cs="Open Sans"/>
          <w:color w:val="444444"/>
          <w:sz w:val="24"/>
          <w:szCs w:val="24"/>
          <w:shd w:val="clear" w:color="auto" w:fill="FFFFFF"/>
        </w:rPr>
        <w:t xml:space="preserve"> je zabezpečování materiálových zdrojů (suroviny, materiál, výrobky) a služeb, které vstupují do procesů v podniku v požadovaném množství, sortimentu, kvalitě, času a místě</w:t>
      </w:r>
      <w:r>
        <w:rPr>
          <w:rStyle w:val="tr"/>
          <w:rFonts w:asciiTheme="majorHAnsi" w:hAnsiTheme="majorHAnsi" w:cs="Open Sans"/>
          <w:color w:val="444444"/>
          <w:sz w:val="24"/>
          <w:szCs w:val="24"/>
          <w:shd w:val="clear" w:color="auto" w:fill="FFFFFF"/>
        </w:rPr>
        <w:t xml:space="preserve">. </w:t>
      </w:r>
    </w:p>
    <w:p w14:paraId="5F24CBCB" w14:textId="77777777" w:rsidR="00EA153E" w:rsidRPr="00C63A1C" w:rsidRDefault="00EA153E" w:rsidP="00EA153E">
      <w:pPr>
        <w:jc w:val="both"/>
        <w:rPr>
          <w:rFonts w:asciiTheme="majorHAnsi" w:hAnsiTheme="majorHAnsi"/>
          <w:sz w:val="24"/>
          <w:szCs w:val="24"/>
        </w:rPr>
      </w:pPr>
      <w:r w:rsidRPr="00C63A1C">
        <w:rPr>
          <w:rFonts w:asciiTheme="majorHAnsi" w:hAnsiTheme="majorHAnsi"/>
          <w:sz w:val="24"/>
          <w:szCs w:val="24"/>
        </w:rPr>
        <w:t>Organizace nákupu v podniku spočívá v rozhodnutí zaměřených na pojetí funkce nákupu, míru a formu centralizace, případně decentralizace, umístění a ekonomické postavení nákupního oddělení v organizační struktuře podniku, vnitřní dělbu práce a řešení vztahů k ostatním vnitropodnikovým útvarům.</w:t>
      </w:r>
    </w:p>
    <w:p w14:paraId="5F24CBCC" w14:textId="77777777" w:rsidR="00255392" w:rsidRDefault="00EA153E" w:rsidP="00C63A1C">
      <w:pPr>
        <w:jc w:val="both"/>
        <w:rPr>
          <w:rFonts w:asciiTheme="majorHAnsi" w:hAnsiTheme="majorHAnsi"/>
          <w:sz w:val="24"/>
          <w:szCs w:val="24"/>
        </w:rPr>
      </w:pPr>
      <w:r w:rsidRPr="00C63A1C">
        <w:rPr>
          <w:rFonts w:asciiTheme="majorHAnsi" w:hAnsiTheme="majorHAnsi"/>
          <w:sz w:val="24"/>
          <w:szCs w:val="24"/>
        </w:rPr>
        <w:t>Správně nastavená centralizace znamená dobré předpoklady pro lepší hospodaření se zásobami, pro úbytek některých položek režijních nákladů a jisté výhody</w:t>
      </w:r>
      <w:r w:rsidR="00AC7666" w:rsidRPr="00C63A1C">
        <w:rPr>
          <w:rFonts w:asciiTheme="majorHAnsi" w:hAnsiTheme="majorHAnsi"/>
          <w:sz w:val="24"/>
          <w:szCs w:val="24"/>
        </w:rPr>
        <w:t xml:space="preserve"> při řešení vztahů s dodavateli, a </w:t>
      </w:r>
      <w:r w:rsidRPr="00C63A1C">
        <w:rPr>
          <w:rFonts w:asciiTheme="majorHAnsi" w:hAnsiTheme="majorHAnsi"/>
          <w:sz w:val="24"/>
          <w:szCs w:val="24"/>
        </w:rPr>
        <w:t xml:space="preserve"> lepší možnost kontroly. </w:t>
      </w:r>
      <w:r w:rsidR="00255392">
        <w:rPr>
          <w:rFonts w:asciiTheme="majorHAnsi" w:hAnsiTheme="majorHAnsi"/>
          <w:sz w:val="24"/>
          <w:szCs w:val="24"/>
        </w:rPr>
        <w:t>Nevýhodou</w:t>
      </w:r>
      <w:r w:rsidRPr="00C63A1C">
        <w:rPr>
          <w:rFonts w:asciiTheme="majorHAnsi" w:hAnsiTheme="majorHAnsi"/>
          <w:sz w:val="24"/>
          <w:szCs w:val="24"/>
        </w:rPr>
        <w:t xml:space="preserve"> je</w:t>
      </w:r>
      <w:r w:rsidR="00255392">
        <w:rPr>
          <w:rFonts w:asciiTheme="majorHAnsi" w:hAnsiTheme="majorHAnsi"/>
          <w:sz w:val="24"/>
          <w:szCs w:val="24"/>
        </w:rPr>
        <w:t>:</w:t>
      </w:r>
    </w:p>
    <w:p w14:paraId="5F24CBCD" w14:textId="77777777" w:rsidR="00255392" w:rsidRPr="00255392" w:rsidRDefault="00EA153E" w:rsidP="00AC0581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55392">
        <w:rPr>
          <w:rFonts w:asciiTheme="majorHAnsi" w:hAnsiTheme="majorHAnsi"/>
          <w:sz w:val="24"/>
          <w:szCs w:val="24"/>
        </w:rPr>
        <w:t>menší přizpůsobivost v případě řešení zm</w:t>
      </w:r>
      <w:r w:rsidR="00255392" w:rsidRPr="00255392">
        <w:rPr>
          <w:rFonts w:asciiTheme="majorHAnsi" w:hAnsiTheme="majorHAnsi"/>
          <w:sz w:val="24"/>
          <w:szCs w:val="24"/>
        </w:rPr>
        <w:t>ěn potřeb a deficitních situací,</w:t>
      </w:r>
    </w:p>
    <w:p w14:paraId="5F24CBCE" w14:textId="77777777" w:rsidR="00255392" w:rsidRPr="00255392" w:rsidRDefault="00EA153E" w:rsidP="00AC0581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55392">
        <w:rPr>
          <w:rFonts w:asciiTheme="majorHAnsi" w:hAnsiTheme="majorHAnsi"/>
          <w:sz w:val="24"/>
          <w:szCs w:val="24"/>
        </w:rPr>
        <w:t>vyšší pořizovací náklady (např. dopravné, manipulační náklady)</w:t>
      </w:r>
    </w:p>
    <w:p w14:paraId="5F24CBCF" w14:textId="77777777" w:rsidR="00255392" w:rsidRPr="00255392" w:rsidRDefault="00EA153E" w:rsidP="00AC0581">
      <w:pPr>
        <w:pStyle w:val="Odstavecseseznamem"/>
        <w:numPr>
          <w:ilvl w:val="0"/>
          <w:numId w:val="12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255392">
        <w:rPr>
          <w:rFonts w:asciiTheme="majorHAnsi" w:hAnsiTheme="majorHAnsi"/>
          <w:sz w:val="24"/>
          <w:szCs w:val="24"/>
        </w:rPr>
        <w:t>zdlouhavé informační toky</w:t>
      </w:r>
      <w:r w:rsidR="00255392" w:rsidRPr="00255392">
        <w:rPr>
          <w:rFonts w:asciiTheme="majorHAnsi" w:hAnsiTheme="majorHAnsi"/>
          <w:sz w:val="24"/>
          <w:szCs w:val="24"/>
        </w:rPr>
        <w:t>.</w:t>
      </w:r>
    </w:p>
    <w:p w14:paraId="5F24CBD0" w14:textId="77777777" w:rsidR="00255392" w:rsidRDefault="00255392" w:rsidP="00C63A1C">
      <w:pPr>
        <w:jc w:val="both"/>
        <w:rPr>
          <w:rFonts w:asciiTheme="majorHAnsi" w:hAnsiTheme="majorHAnsi"/>
          <w:sz w:val="24"/>
          <w:szCs w:val="24"/>
        </w:rPr>
      </w:pPr>
    </w:p>
    <w:p w14:paraId="5F24CBD1" w14:textId="77777777" w:rsidR="00D04D48" w:rsidRPr="00D04D48" w:rsidRDefault="00EA153E" w:rsidP="00255392">
      <w:pPr>
        <w:jc w:val="both"/>
        <w:rPr>
          <w:rFonts w:asciiTheme="majorHAnsi" w:hAnsiTheme="majorHAnsi"/>
          <w:sz w:val="24"/>
          <w:szCs w:val="24"/>
        </w:rPr>
      </w:pPr>
      <w:r w:rsidRPr="00D04D48">
        <w:rPr>
          <w:rFonts w:asciiTheme="majorHAnsi" w:hAnsiTheme="majorHAnsi"/>
          <w:sz w:val="24"/>
          <w:szCs w:val="24"/>
        </w:rPr>
        <w:t xml:space="preserve">Systém </w:t>
      </w:r>
      <w:r w:rsidRPr="00D04D48">
        <w:rPr>
          <w:rFonts w:asciiTheme="majorHAnsi" w:hAnsiTheme="majorHAnsi"/>
          <w:b/>
          <w:sz w:val="24"/>
          <w:szCs w:val="24"/>
        </w:rPr>
        <w:t xml:space="preserve">decentralizace </w:t>
      </w:r>
      <w:r w:rsidRPr="00D04D48">
        <w:rPr>
          <w:rFonts w:asciiTheme="majorHAnsi" w:hAnsiTheme="majorHAnsi"/>
          <w:sz w:val="24"/>
          <w:szCs w:val="24"/>
        </w:rPr>
        <w:t xml:space="preserve">dokáže lépe a efektivněji řešit stimulaci a rozvoj iniciativy při realizaci pozitivních změn. </w:t>
      </w:r>
      <w:r w:rsidR="00255392" w:rsidRPr="00D04D48">
        <w:rPr>
          <w:rFonts w:asciiTheme="majorHAnsi" w:hAnsiTheme="majorHAnsi"/>
          <w:sz w:val="24"/>
          <w:szCs w:val="24"/>
        </w:rPr>
        <w:t>V</w:t>
      </w:r>
      <w:r w:rsidRPr="00D04D48">
        <w:rPr>
          <w:rFonts w:asciiTheme="majorHAnsi" w:hAnsiTheme="majorHAnsi"/>
          <w:sz w:val="24"/>
          <w:szCs w:val="24"/>
        </w:rPr>
        <w:t>ýhodou decentralizace je větší</w:t>
      </w:r>
      <w:r w:rsidR="00255392" w:rsidRPr="00D04D48">
        <w:rPr>
          <w:rFonts w:asciiTheme="majorHAnsi" w:hAnsiTheme="majorHAnsi"/>
          <w:sz w:val="24"/>
          <w:szCs w:val="24"/>
        </w:rPr>
        <w:t xml:space="preserve"> vý</w:t>
      </w:r>
      <w:r w:rsidR="00D04D48" w:rsidRPr="00D04D48">
        <w:rPr>
          <w:rFonts w:asciiTheme="majorHAnsi" w:hAnsiTheme="majorHAnsi"/>
          <w:sz w:val="24"/>
          <w:szCs w:val="24"/>
        </w:rPr>
        <w:t>b</w:t>
      </w:r>
      <w:r w:rsidR="00274BE1" w:rsidRPr="00D04D48">
        <w:rPr>
          <w:rFonts w:asciiTheme="majorHAnsi" w:hAnsiTheme="majorHAnsi"/>
          <w:sz w:val="24"/>
          <w:szCs w:val="24"/>
        </w:rPr>
        <w:t>ěr a hodnocení dodavatelů</w:t>
      </w:r>
      <w:r w:rsidR="005471D9" w:rsidRPr="00D04D48">
        <w:rPr>
          <w:rFonts w:asciiTheme="majorHAnsi" w:hAnsiTheme="majorHAnsi"/>
          <w:sz w:val="24"/>
          <w:szCs w:val="24"/>
        </w:rPr>
        <w:t xml:space="preserve"> </w:t>
      </w:r>
      <w:r w:rsidR="00D04D48" w:rsidRPr="00D04D48">
        <w:rPr>
          <w:rFonts w:asciiTheme="majorHAnsi" w:hAnsiTheme="majorHAnsi"/>
          <w:sz w:val="24"/>
          <w:szCs w:val="24"/>
        </w:rPr>
        <w:t xml:space="preserve">v rozhodování a možnost využít vzájemnou soutěž decentralizovaných útvarů. Nevýhodou je obtížné užití jednotné nákupní strategie, obtížná koordinace dislokovaných úseků anebo rozsáhlý a nákladný systém plánování a kontroly. </w:t>
      </w:r>
    </w:p>
    <w:p w14:paraId="5F24CBD2" w14:textId="77777777" w:rsidR="006E02AA" w:rsidRPr="00F74FE8" w:rsidRDefault="006E02AA" w:rsidP="006E02AA">
      <w:pPr>
        <w:jc w:val="both"/>
        <w:rPr>
          <w:rFonts w:asciiTheme="majorHAnsi" w:hAnsiTheme="majorHAnsi"/>
          <w:b/>
          <w:sz w:val="24"/>
          <w:szCs w:val="24"/>
        </w:rPr>
      </w:pPr>
      <w:r w:rsidRPr="00F74FE8">
        <w:rPr>
          <w:rFonts w:asciiTheme="majorHAnsi" w:hAnsiTheme="majorHAnsi"/>
          <w:b/>
          <w:sz w:val="24"/>
          <w:szCs w:val="24"/>
        </w:rPr>
        <w:t xml:space="preserve">Vnitřní dělba práce v nákupu </w:t>
      </w:r>
    </w:p>
    <w:p w14:paraId="5F24CBD3" w14:textId="77777777" w:rsidR="006E02AA" w:rsidRDefault="006E02AA" w:rsidP="006E02AA">
      <w:pPr>
        <w:jc w:val="both"/>
        <w:rPr>
          <w:rFonts w:asciiTheme="majorHAnsi" w:hAnsiTheme="majorHAnsi"/>
          <w:sz w:val="24"/>
          <w:szCs w:val="24"/>
        </w:rPr>
      </w:pPr>
      <w:r w:rsidRPr="006E02AA">
        <w:rPr>
          <w:rFonts w:asciiTheme="majorHAnsi" w:hAnsiTheme="majorHAnsi"/>
          <w:sz w:val="24"/>
          <w:szCs w:val="24"/>
        </w:rPr>
        <w:lastRenderedPageBreak/>
        <w:t>Při organizaci v</w:t>
      </w:r>
      <w:r>
        <w:rPr>
          <w:rFonts w:asciiTheme="majorHAnsi" w:hAnsiTheme="majorHAnsi"/>
          <w:sz w:val="24"/>
          <w:szCs w:val="24"/>
        </w:rPr>
        <w:t>nitřní dělby práce se používají tři základní typy:</w:t>
      </w:r>
    </w:p>
    <w:p w14:paraId="5F24CBD4" w14:textId="77777777" w:rsidR="006E02AA" w:rsidRPr="00F74FE8" w:rsidRDefault="006E02AA" w:rsidP="00AC0581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F74FE8">
        <w:rPr>
          <w:rFonts w:asciiTheme="majorHAnsi" w:hAnsiTheme="majorHAnsi"/>
          <w:sz w:val="24"/>
          <w:szCs w:val="24"/>
        </w:rPr>
        <w:t xml:space="preserve">funkčně centralizovaný, </w:t>
      </w:r>
    </w:p>
    <w:p w14:paraId="5F24CBD5" w14:textId="77777777" w:rsidR="00F74FE8" w:rsidRPr="00F74FE8" w:rsidRDefault="00F74FE8" w:rsidP="00AC0581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F74FE8">
        <w:rPr>
          <w:rFonts w:asciiTheme="majorHAnsi" w:hAnsiTheme="majorHAnsi"/>
          <w:sz w:val="24"/>
          <w:szCs w:val="24"/>
        </w:rPr>
        <w:t>funkčně decentralizovaný,</w:t>
      </w:r>
    </w:p>
    <w:p w14:paraId="5F24CBD6" w14:textId="77777777" w:rsidR="00F74FE8" w:rsidRPr="00F74FE8" w:rsidRDefault="006E02AA" w:rsidP="00AC0581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F74FE8">
        <w:rPr>
          <w:rFonts w:asciiTheme="majorHAnsi" w:hAnsiTheme="majorHAnsi"/>
          <w:sz w:val="24"/>
          <w:szCs w:val="24"/>
        </w:rPr>
        <w:t xml:space="preserve">kombinovaný. </w:t>
      </w:r>
    </w:p>
    <w:p w14:paraId="5F24CBD7" w14:textId="77777777" w:rsidR="006E02AA" w:rsidRPr="006E02AA" w:rsidRDefault="006E02AA" w:rsidP="006E02AA">
      <w:pPr>
        <w:jc w:val="both"/>
        <w:rPr>
          <w:rFonts w:asciiTheme="majorHAnsi" w:hAnsiTheme="majorHAnsi"/>
          <w:b/>
          <w:sz w:val="24"/>
          <w:szCs w:val="24"/>
        </w:rPr>
      </w:pPr>
      <w:r w:rsidRPr="006E02AA">
        <w:rPr>
          <w:rFonts w:asciiTheme="majorHAnsi" w:hAnsiTheme="majorHAnsi"/>
          <w:sz w:val="24"/>
          <w:szCs w:val="24"/>
        </w:rPr>
        <w:t>Hlavní odlišnost mezi nimi je ve vnitřním uspořádáním – seskupování základních aktivit, jež jsou realizovány v oblasti plánování, vlastního nákupu a skladování. A právě proto je velmi důležité, jakým způsobem jsou vymezeny odpovědnosti a pravomoci jednotlivých část</w:t>
      </w:r>
      <w:r w:rsidR="007B27FC">
        <w:rPr>
          <w:rFonts w:asciiTheme="majorHAnsi" w:hAnsiTheme="majorHAnsi"/>
          <w:sz w:val="24"/>
          <w:szCs w:val="24"/>
        </w:rPr>
        <w:t>í útvaru.</w:t>
      </w:r>
    </w:p>
    <w:p w14:paraId="5F24CBD9" w14:textId="77777777" w:rsidR="008A35A2" w:rsidRDefault="006E02AA" w:rsidP="006E02AA">
      <w:pPr>
        <w:pStyle w:val="Default"/>
        <w:spacing w:before="240" w:line="276" w:lineRule="auto"/>
        <w:jc w:val="both"/>
        <w:rPr>
          <w:rFonts w:asciiTheme="majorHAnsi" w:hAnsiTheme="majorHAnsi" w:cs="Times New Roman"/>
        </w:rPr>
      </w:pPr>
      <w:r w:rsidRPr="00BF6E60">
        <w:rPr>
          <w:rFonts w:asciiTheme="majorHAnsi" w:hAnsiTheme="majorHAnsi" w:cs="Times New Roman"/>
        </w:rPr>
        <w:t xml:space="preserve">Tvorba nákupní marketingové strategie je podkladem pro úspěšné řízení procesu nákupu. Vychází z vrcholových cílů podniku jako celku, z výsledků analýzy minulého vývoje a z údajů o plnění předchozích strategických dokumentů. </w:t>
      </w:r>
    </w:p>
    <w:p w14:paraId="5F24CBDA" w14:textId="77777777" w:rsidR="006E02AA" w:rsidRPr="008A35A2" w:rsidRDefault="008A35A2" w:rsidP="006E02AA">
      <w:pPr>
        <w:pStyle w:val="Default"/>
        <w:spacing w:before="240" w:line="276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</w:t>
      </w:r>
      <w:r w:rsidR="006E02AA" w:rsidRPr="00BF6E60">
        <w:rPr>
          <w:rFonts w:asciiTheme="majorHAnsi" w:hAnsiTheme="majorHAnsi" w:cs="Times New Roman"/>
        </w:rPr>
        <w:t xml:space="preserve">arketingový přístup </w:t>
      </w:r>
      <w:r>
        <w:rPr>
          <w:rFonts w:asciiTheme="majorHAnsi" w:hAnsiTheme="majorHAnsi" w:cs="Times New Roman"/>
        </w:rPr>
        <w:t xml:space="preserve">je uplatňován </w:t>
      </w:r>
      <w:r w:rsidR="006E02AA" w:rsidRPr="00BF6E60">
        <w:rPr>
          <w:rFonts w:asciiTheme="majorHAnsi" w:hAnsiTheme="majorHAnsi" w:cs="Times New Roman"/>
        </w:rPr>
        <w:t xml:space="preserve">ve všech fázích nákupního procesu. </w:t>
      </w:r>
      <w:r w:rsidR="006E02AA" w:rsidRPr="00BF6E60">
        <w:rPr>
          <w:rFonts w:asciiTheme="majorHAnsi" w:hAnsiTheme="majorHAnsi" w:cs="Times New Roman"/>
          <w:b/>
        </w:rPr>
        <w:t>Marketingové pojetí nákupu</w:t>
      </w:r>
      <w:r w:rsidR="006E02AA" w:rsidRPr="00BF6E60">
        <w:rPr>
          <w:rFonts w:asciiTheme="majorHAnsi" w:hAnsiTheme="majorHAnsi" w:cs="Times New Roman"/>
        </w:rPr>
        <w:t xml:space="preserve"> sleduje i funkce vnější, uskutečňované v rámci dodavatelského trhu. Jsou využívány analogické metody a techniky jako u klasického prodejního marketingu</w:t>
      </w:r>
      <w:r w:rsidR="006E02AA" w:rsidRPr="00BF6E60">
        <w:rPr>
          <w:rFonts w:asciiTheme="majorHAnsi" w:hAnsiTheme="majorHAnsi" w:cs="Arial"/>
        </w:rPr>
        <w:t xml:space="preserve">. </w:t>
      </w:r>
      <w:r w:rsidR="006E02AA" w:rsidRPr="00BF6E60">
        <w:rPr>
          <w:rFonts w:asciiTheme="majorHAnsi" w:hAnsiTheme="majorHAnsi" w:cs="Times New Roman"/>
        </w:rPr>
        <w:t>Nákupním marketingem začíná podnikový dodavatelský řetězec a prodejním marketingem končí. Obě funkce slouží ke zprostředkování propojení vnitropodnikového prostředí s vnějším</w:t>
      </w:r>
      <w:r w:rsidR="006E02AA">
        <w:rPr>
          <w:rFonts w:ascii="Times New Roman" w:hAnsi="Times New Roman" w:cs="Times New Roman"/>
          <w:sz w:val="23"/>
          <w:szCs w:val="23"/>
        </w:rPr>
        <w:t xml:space="preserve"> tržním prostředím. </w:t>
      </w:r>
    </w:p>
    <w:p w14:paraId="5F24CBDB" w14:textId="77777777" w:rsidR="006E02AA" w:rsidRDefault="006E02AA" w:rsidP="009257F4">
      <w:pPr>
        <w:rPr>
          <w:rFonts w:asciiTheme="majorHAnsi" w:hAnsiTheme="majorHAnsi"/>
          <w:b/>
          <w:sz w:val="24"/>
          <w:szCs w:val="24"/>
        </w:rPr>
      </w:pPr>
    </w:p>
    <w:p w14:paraId="5F24CBDC" w14:textId="77777777" w:rsidR="009257F4" w:rsidRPr="009257F4" w:rsidRDefault="00E85AF8" w:rsidP="00AC0581">
      <w:pPr>
        <w:pStyle w:val="Nadpis1"/>
        <w:numPr>
          <w:ilvl w:val="0"/>
          <w:numId w:val="15"/>
        </w:numPr>
      </w:pPr>
      <w:r>
        <w:t>Model nákupního marketingu, výběr a hodnocení dodavatelů</w:t>
      </w:r>
      <w:r w:rsidR="009257F4" w:rsidRPr="009257F4">
        <w:t xml:space="preserve"> </w:t>
      </w:r>
    </w:p>
    <w:p w14:paraId="5F24CBDD" w14:textId="77777777" w:rsidR="009257F4" w:rsidRPr="00353C40" w:rsidRDefault="009257F4" w:rsidP="009257F4">
      <w:pPr>
        <w:pStyle w:val="Default"/>
        <w:spacing w:before="240" w:line="276" w:lineRule="auto"/>
        <w:jc w:val="both"/>
        <w:rPr>
          <w:rFonts w:asciiTheme="majorHAnsi" w:hAnsiTheme="majorHAnsi" w:cs="Times New Roman"/>
        </w:rPr>
      </w:pPr>
      <w:r w:rsidRPr="00353C40">
        <w:rPr>
          <w:rFonts w:asciiTheme="majorHAnsi" w:hAnsiTheme="majorHAnsi" w:cs="Times New Roman"/>
        </w:rPr>
        <w:t xml:space="preserve">Rozlišujeme dva přístupy k nákupnímu procesu: </w:t>
      </w:r>
    </w:p>
    <w:p w14:paraId="5F24CBDE" w14:textId="77777777" w:rsidR="009257F4" w:rsidRPr="00353C40" w:rsidRDefault="009257F4" w:rsidP="00AC0581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 w:cs="Times New Roman"/>
        </w:rPr>
      </w:pPr>
      <w:r w:rsidRPr="00353C40">
        <w:rPr>
          <w:rFonts w:asciiTheme="majorHAnsi" w:hAnsiTheme="majorHAnsi" w:cs="Times New Roman"/>
          <w:b/>
          <w:bCs/>
        </w:rPr>
        <w:t xml:space="preserve">Pasivní </w:t>
      </w:r>
      <w:r w:rsidRPr="00353C40">
        <w:rPr>
          <w:rFonts w:asciiTheme="majorHAnsi" w:hAnsiTheme="majorHAnsi" w:cs="Times New Roman"/>
        </w:rPr>
        <w:t xml:space="preserve">– opatřování na základě vzniklých potřeb, </w:t>
      </w:r>
    </w:p>
    <w:p w14:paraId="5F24CBDF" w14:textId="77777777" w:rsidR="009257F4" w:rsidRPr="00353C40" w:rsidRDefault="009257F4" w:rsidP="00AC0581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ajorHAnsi" w:hAnsiTheme="majorHAnsi" w:cs="Times New Roman"/>
        </w:rPr>
      </w:pPr>
      <w:r w:rsidRPr="00353C40">
        <w:rPr>
          <w:rFonts w:asciiTheme="majorHAnsi" w:hAnsiTheme="majorHAnsi" w:cs="Times New Roman"/>
          <w:b/>
          <w:bCs/>
        </w:rPr>
        <w:t xml:space="preserve">Aktivní </w:t>
      </w:r>
      <w:r w:rsidRPr="00353C40">
        <w:rPr>
          <w:rFonts w:asciiTheme="majorHAnsi" w:hAnsiTheme="majorHAnsi" w:cs="Times New Roman"/>
        </w:rPr>
        <w:t xml:space="preserve">– spoluúčast již při vývoji výrobku (volba materiálu i jeho substituce, využití odpadu, materiálový servis). Logickým vyústěním tohoto přístupu je marketingové pojetí nákupu. </w:t>
      </w:r>
    </w:p>
    <w:p w14:paraId="5F24CBE0" w14:textId="77777777" w:rsidR="009257F4" w:rsidRPr="00353C40" w:rsidRDefault="009257F4" w:rsidP="009257F4">
      <w:pPr>
        <w:pStyle w:val="Default"/>
        <w:jc w:val="both"/>
        <w:rPr>
          <w:rFonts w:asciiTheme="majorHAnsi" w:hAnsiTheme="majorHAnsi" w:cs="Times New Roman"/>
        </w:rPr>
      </w:pPr>
    </w:p>
    <w:p w14:paraId="5F24CBE1" w14:textId="77777777" w:rsidR="009257F4" w:rsidRDefault="009257F4" w:rsidP="009257F4">
      <w:pPr>
        <w:pStyle w:val="Default"/>
        <w:jc w:val="both"/>
        <w:rPr>
          <w:rFonts w:asciiTheme="majorHAnsi" w:hAnsiTheme="majorHAnsi" w:cs="Times New Roman"/>
        </w:rPr>
      </w:pPr>
      <w:r w:rsidRPr="00344A96">
        <w:rPr>
          <w:rFonts w:asciiTheme="majorHAnsi" w:hAnsiTheme="majorHAnsi" w:cs="Times New Roman"/>
          <w:b/>
        </w:rPr>
        <w:t>Marketing</w:t>
      </w:r>
      <w:r w:rsidRPr="00353C40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lze definovat </w:t>
      </w:r>
      <w:r w:rsidRPr="00353C40">
        <w:rPr>
          <w:rFonts w:asciiTheme="majorHAnsi" w:hAnsiTheme="majorHAnsi" w:cs="Times New Roman"/>
        </w:rPr>
        <w:t xml:space="preserve">jako „společenský a řídící proces, kterým jednotlivci a skupiny získávají to, co potřebují a požadují prostřednictvím tvorby, nabídky a směny hodnotných výrobků s ostatními.“ </w:t>
      </w:r>
    </w:p>
    <w:p w14:paraId="5F24CBE2" w14:textId="77777777" w:rsidR="009257F4" w:rsidRDefault="009257F4" w:rsidP="009257F4">
      <w:pPr>
        <w:pStyle w:val="Default"/>
        <w:jc w:val="both"/>
        <w:rPr>
          <w:rFonts w:asciiTheme="majorHAnsi" w:hAnsiTheme="majorHAnsi" w:cs="Times New Roman"/>
        </w:rPr>
      </w:pPr>
    </w:p>
    <w:p w14:paraId="5F24CBE3" w14:textId="77777777" w:rsidR="009257F4" w:rsidRPr="00353C40" w:rsidRDefault="009257F4" w:rsidP="009257F4">
      <w:pPr>
        <w:pStyle w:val="Default"/>
        <w:jc w:val="both"/>
        <w:rPr>
          <w:rFonts w:asciiTheme="majorHAnsi" w:hAnsiTheme="majorHAnsi" w:cs="Times New Roman"/>
        </w:rPr>
      </w:pPr>
      <w:r w:rsidRPr="00353C40">
        <w:rPr>
          <w:rFonts w:asciiTheme="majorHAnsi" w:hAnsiTheme="majorHAnsi" w:cs="Times New Roman"/>
        </w:rPr>
        <w:t>Výkony podniku jsou výsledkem práce prodejního útva</w:t>
      </w:r>
      <w:r w:rsidR="008A35A2">
        <w:rPr>
          <w:rFonts w:asciiTheme="majorHAnsi" w:hAnsiTheme="majorHAnsi" w:cs="Times New Roman"/>
        </w:rPr>
        <w:t>ru, ale</w:t>
      </w:r>
      <w:r w:rsidRPr="00353C40">
        <w:rPr>
          <w:rFonts w:asciiTheme="majorHAnsi" w:hAnsiTheme="majorHAnsi" w:cs="Times New Roman"/>
        </w:rPr>
        <w:t xml:space="preserve"> i útvaru nákupu. </w:t>
      </w:r>
    </w:p>
    <w:p w14:paraId="5F24CBE4" w14:textId="77777777" w:rsidR="009257F4" w:rsidRDefault="009257F4" w:rsidP="009257F4">
      <w:pPr>
        <w:pStyle w:val="Default"/>
        <w:jc w:val="both"/>
        <w:rPr>
          <w:rFonts w:asciiTheme="majorHAnsi" w:hAnsiTheme="majorHAnsi" w:cs="Times New Roman"/>
          <w:b/>
          <w:bCs/>
        </w:rPr>
      </w:pPr>
    </w:p>
    <w:p w14:paraId="5F24CBE5" w14:textId="77777777" w:rsidR="009257F4" w:rsidRDefault="009257F4" w:rsidP="009257F4">
      <w:pPr>
        <w:pStyle w:val="Default"/>
        <w:jc w:val="both"/>
        <w:rPr>
          <w:rFonts w:asciiTheme="majorHAnsi" w:hAnsiTheme="majorHAnsi" w:cs="Times New Roman"/>
        </w:rPr>
      </w:pPr>
      <w:r w:rsidRPr="00353C40">
        <w:rPr>
          <w:rFonts w:asciiTheme="majorHAnsi" w:hAnsiTheme="majorHAnsi" w:cs="Times New Roman"/>
          <w:b/>
          <w:bCs/>
        </w:rPr>
        <w:t xml:space="preserve">Nákupní marketing </w:t>
      </w:r>
      <w:r w:rsidR="008A35A2">
        <w:rPr>
          <w:rFonts w:asciiTheme="majorHAnsi" w:hAnsiTheme="majorHAnsi" w:cs="Times New Roman"/>
        </w:rPr>
        <w:t xml:space="preserve">představuje </w:t>
      </w:r>
      <w:r w:rsidRPr="00353C40">
        <w:rPr>
          <w:rFonts w:asciiTheme="majorHAnsi" w:hAnsiTheme="majorHAnsi" w:cs="Times New Roman"/>
        </w:rPr>
        <w:t xml:space="preserve">využití marketingových přístupů </w:t>
      </w:r>
      <w:r>
        <w:rPr>
          <w:rFonts w:asciiTheme="majorHAnsi" w:hAnsiTheme="majorHAnsi" w:cs="Times New Roman"/>
        </w:rPr>
        <w:t>ve všech fázích procesu nákupu:</w:t>
      </w:r>
    </w:p>
    <w:p w14:paraId="5F24CBE6" w14:textId="77777777" w:rsidR="009257F4" w:rsidRDefault="009257F4" w:rsidP="00AC0581">
      <w:pPr>
        <w:pStyle w:val="Default"/>
        <w:numPr>
          <w:ilvl w:val="0"/>
          <w:numId w:val="9"/>
        </w:numPr>
        <w:jc w:val="both"/>
        <w:rPr>
          <w:rFonts w:asciiTheme="majorHAnsi" w:hAnsiTheme="majorHAnsi" w:cs="Times New Roman"/>
        </w:rPr>
      </w:pPr>
      <w:r w:rsidRPr="00353C40">
        <w:rPr>
          <w:rFonts w:asciiTheme="majorHAnsi" w:hAnsiTheme="majorHAnsi" w:cs="Times New Roman"/>
        </w:rPr>
        <w:t xml:space="preserve">stanovení nákupní strategie a nákupních cílů, </w:t>
      </w:r>
    </w:p>
    <w:p w14:paraId="5F24CBE7" w14:textId="77777777" w:rsidR="009257F4" w:rsidRDefault="009257F4" w:rsidP="00AC0581">
      <w:pPr>
        <w:pStyle w:val="Default"/>
        <w:numPr>
          <w:ilvl w:val="0"/>
          <w:numId w:val="9"/>
        </w:numPr>
        <w:jc w:val="both"/>
        <w:rPr>
          <w:rFonts w:asciiTheme="majorHAnsi" w:hAnsiTheme="majorHAnsi" w:cs="Times New Roman"/>
        </w:rPr>
      </w:pPr>
      <w:r w:rsidRPr="00353C40">
        <w:rPr>
          <w:rFonts w:asciiTheme="majorHAnsi" w:hAnsiTheme="majorHAnsi" w:cs="Times New Roman"/>
        </w:rPr>
        <w:t xml:space="preserve">nákupní výzkum trhu, </w:t>
      </w:r>
    </w:p>
    <w:p w14:paraId="5F24CBE8" w14:textId="77777777" w:rsidR="009257F4" w:rsidRDefault="009257F4" w:rsidP="00AC0581">
      <w:pPr>
        <w:pStyle w:val="Default"/>
        <w:numPr>
          <w:ilvl w:val="0"/>
          <w:numId w:val="9"/>
        </w:numPr>
        <w:jc w:val="both"/>
        <w:rPr>
          <w:rFonts w:asciiTheme="majorHAnsi" w:hAnsiTheme="majorHAnsi" w:cs="Times New Roman"/>
        </w:rPr>
      </w:pPr>
      <w:r w:rsidRPr="00353C40">
        <w:rPr>
          <w:rFonts w:asciiTheme="majorHAnsi" w:hAnsiTheme="majorHAnsi" w:cs="Times New Roman"/>
        </w:rPr>
        <w:t xml:space="preserve">volba nákupního trhu a dodavatelů, </w:t>
      </w:r>
    </w:p>
    <w:p w14:paraId="5F24CBE9" w14:textId="77777777" w:rsidR="009257F4" w:rsidRDefault="009257F4" w:rsidP="00AC0581">
      <w:pPr>
        <w:pStyle w:val="Default"/>
        <w:numPr>
          <w:ilvl w:val="0"/>
          <w:numId w:val="9"/>
        </w:numPr>
        <w:jc w:val="both"/>
        <w:rPr>
          <w:rFonts w:asciiTheme="majorHAnsi" w:hAnsiTheme="majorHAnsi" w:cs="Times New Roman"/>
        </w:rPr>
      </w:pPr>
      <w:r w:rsidRPr="00353C40">
        <w:rPr>
          <w:rFonts w:asciiTheme="majorHAnsi" w:hAnsiTheme="majorHAnsi" w:cs="Times New Roman"/>
        </w:rPr>
        <w:t xml:space="preserve">rozhodování o dodávkovém režimu, </w:t>
      </w:r>
    </w:p>
    <w:p w14:paraId="5F24CBEA" w14:textId="77777777" w:rsidR="009257F4" w:rsidRDefault="009257F4" w:rsidP="00AC0581">
      <w:pPr>
        <w:pStyle w:val="Default"/>
        <w:numPr>
          <w:ilvl w:val="0"/>
          <w:numId w:val="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rozhodování </w:t>
      </w:r>
      <w:r w:rsidRPr="00353C40">
        <w:rPr>
          <w:rFonts w:asciiTheme="majorHAnsi" w:hAnsiTheme="majorHAnsi" w:cs="Times New Roman"/>
        </w:rPr>
        <w:t xml:space="preserve">o tvorbě zásob a oboustranně </w:t>
      </w:r>
      <w:r>
        <w:rPr>
          <w:rFonts w:asciiTheme="majorHAnsi" w:hAnsiTheme="majorHAnsi" w:cs="Times New Roman"/>
        </w:rPr>
        <w:t xml:space="preserve">výhodných vztazích s dodavateli, </w:t>
      </w:r>
    </w:p>
    <w:p w14:paraId="5F24CBEB" w14:textId="77777777" w:rsidR="009257F4" w:rsidRDefault="009257F4" w:rsidP="00AC0581">
      <w:pPr>
        <w:pStyle w:val="Default"/>
        <w:numPr>
          <w:ilvl w:val="0"/>
          <w:numId w:val="9"/>
        </w:numPr>
        <w:jc w:val="both"/>
        <w:rPr>
          <w:rFonts w:asciiTheme="majorHAnsi" w:hAnsiTheme="majorHAnsi" w:cs="Times New Roman"/>
        </w:rPr>
      </w:pPr>
      <w:r w:rsidRPr="00353C40">
        <w:rPr>
          <w:rFonts w:asciiTheme="majorHAnsi" w:hAnsiTheme="majorHAnsi" w:cs="Times New Roman"/>
        </w:rPr>
        <w:t xml:space="preserve">kontrola spotřeby materiálu. </w:t>
      </w:r>
    </w:p>
    <w:p w14:paraId="5F24CBEC" w14:textId="77777777" w:rsidR="009257F4" w:rsidRPr="00353C40" w:rsidRDefault="009257F4" w:rsidP="009257F4">
      <w:pPr>
        <w:pStyle w:val="Default"/>
        <w:jc w:val="both"/>
        <w:rPr>
          <w:rFonts w:asciiTheme="majorHAnsi" w:hAnsiTheme="majorHAnsi" w:cs="Times New Roman"/>
        </w:rPr>
      </w:pPr>
    </w:p>
    <w:p w14:paraId="5F24CBED" w14:textId="77777777" w:rsidR="009257F4" w:rsidRDefault="009257F4" w:rsidP="009257F4">
      <w:pPr>
        <w:pStyle w:val="Default"/>
        <w:jc w:val="both"/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</w:rPr>
        <w:t>V</w:t>
      </w:r>
      <w:r w:rsidRPr="00353C40">
        <w:rPr>
          <w:rFonts w:asciiTheme="majorHAnsi" w:hAnsiTheme="majorHAnsi" w:cs="Times New Roman"/>
        </w:rPr>
        <w:t xml:space="preserve"> oblasti nákupu </w:t>
      </w:r>
      <w:r>
        <w:rPr>
          <w:rFonts w:asciiTheme="majorHAnsi" w:hAnsiTheme="majorHAnsi" w:cs="Times New Roman"/>
        </w:rPr>
        <w:t xml:space="preserve">je </w:t>
      </w:r>
      <w:r w:rsidRPr="00353C40">
        <w:rPr>
          <w:rFonts w:asciiTheme="majorHAnsi" w:hAnsiTheme="majorHAnsi" w:cs="Times New Roman"/>
        </w:rPr>
        <w:t xml:space="preserve">využíván tzv. </w:t>
      </w:r>
      <w:r w:rsidRPr="00353C40">
        <w:rPr>
          <w:rFonts w:asciiTheme="majorHAnsi" w:hAnsiTheme="majorHAnsi" w:cs="Times New Roman"/>
          <w:b/>
          <w:bCs/>
        </w:rPr>
        <w:t xml:space="preserve">nákupní marketingový mix. </w:t>
      </w:r>
    </w:p>
    <w:p w14:paraId="5F24CBEE" w14:textId="77777777" w:rsidR="009257F4" w:rsidRDefault="009257F4" w:rsidP="009257F4">
      <w:pPr>
        <w:pStyle w:val="Default"/>
        <w:spacing w:after="145"/>
        <w:rPr>
          <w:rFonts w:asciiTheme="majorHAnsi" w:hAnsiTheme="majorHAnsi" w:cs="Wingdings 2"/>
          <w:color w:val="auto"/>
        </w:rPr>
      </w:pPr>
    </w:p>
    <w:p w14:paraId="5F24CBEF" w14:textId="77777777" w:rsidR="009257F4" w:rsidRPr="00353C40" w:rsidRDefault="009257F4" w:rsidP="009257F4">
      <w:pPr>
        <w:pStyle w:val="Default"/>
        <w:spacing w:after="145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Vn</w:t>
      </w:r>
      <w:r w:rsidRPr="00353C40">
        <w:rPr>
          <w:rFonts w:asciiTheme="majorHAnsi" w:hAnsiTheme="majorHAnsi" w:cs="Times New Roman"/>
          <w:color w:val="auto"/>
        </w:rPr>
        <w:t xml:space="preserve">ějšími subjekty nákupního managementu jsou </w:t>
      </w:r>
      <w:r w:rsidRPr="00353C40">
        <w:rPr>
          <w:rFonts w:asciiTheme="majorHAnsi" w:hAnsiTheme="majorHAnsi" w:cs="Times New Roman"/>
          <w:b/>
          <w:bCs/>
          <w:color w:val="auto"/>
        </w:rPr>
        <w:t>dodavatelé</w:t>
      </w:r>
      <w:r w:rsidR="008A35A2">
        <w:rPr>
          <w:rFonts w:asciiTheme="majorHAnsi" w:hAnsiTheme="majorHAnsi" w:cs="Times New Roman"/>
          <w:color w:val="auto"/>
        </w:rPr>
        <w:t>.</w:t>
      </w:r>
    </w:p>
    <w:p w14:paraId="5F24CBF0" w14:textId="77777777" w:rsidR="009257F4" w:rsidRPr="00353C40" w:rsidRDefault="009257F4" w:rsidP="009257F4">
      <w:pPr>
        <w:pStyle w:val="Default"/>
        <w:spacing w:after="145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D</w:t>
      </w:r>
      <w:r w:rsidRPr="00353C40">
        <w:rPr>
          <w:rFonts w:asciiTheme="majorHAnsi" w:hAnsiTheme="majorHAnsi" w:cs="Times New Roman"/>
          <w:color w:val="auto"/>
        </w:rPr>
        <w:t>ůležitým nástrojem</w:t>
      </w:r>
      <w:r>
        <w:rPr>
          <w:rFonts w:asciiTheme="majorHAnsi" w:hAnsiTheme="majorHAnsi" w:cs="Times New Roman"/>
          <w:color w:val="auto"/>
        </w:rPr>
        <w:t xml:space="preserve"> je </w:t>
      </w:r>
      <w:r w:rsidR="008A35A2">
        <w:rPr>
          <w:rFonts w:asciiTheme="majorHAnsi" w:hAnsiTheme="majorHAnsi" w:cs="Times New Roman"/>
          <w:b/>
          <w:bCs/>
          <w:color w:val="auto"/>
        </w:rPr>
        <w:t>plán nákupu</w:t>
      </w:r>
      <w:r w:rsidR="008A35A2">
        <w:rPr>
          <w:rFonts w:asciiTheme="majorHAnsi" w:hAnsiTheme="majorHAnsi" w:cs="Times New Roman"/>
          <w:color w:val="auto"/>
        </w:rPr>
        <w:t>.</w:t>
      </w:r>
    </w:p>
    <w:p w14:paraId="5F24CBF1" w14:textId="77777777" w:rsidR="009257F4" w:rsidRPr="00353C40" w:rsidRDefault="009257F4" w:rsidP="009257F4">
      <w:pPr>
        <w:pStyle w:val="Default"/>
        <w:jc w:val="both"/>
        <w:rPr>
          <w:rFonts w:asciiTheme="majorHAnsi" w:hAnsiTheme="majorHAnsi" w:cs="Times New Roman"/>
          <w:color w:val="auto"/>
        </w:rPr>
      </w:pPr>
      <w:r w:rsidRPr="00353C40">
        <w:rPr>
          <w:rFonts w:asciiTheme="majorHAnsi" w:hAnsiTheme="majorHAnsi" w:cs="Times New Roman"/>
          <w:color w:val="auto"/>
        </w:rPr>
        <w:t xml:space="preserve">V podmínkách otevřené tržní ekonomiky je nutno věnovat pozornost </w:t>
      </w:r>
      <w:r w:rsidRPr="00353C40">
        <w:rPr>
          <w:rFonts w:asciiTheme="majorHAnsi" w:hAnsiTheme="majorHAnsi" w:cs="Times New Roman"/>
          <w:b/>
          <w:bCs/>
          <w:color w:val="auto"/>
        </w:rPr>
        <w:t xml:space="preserve">strategickému řízení </w:t>
      </w:r>
      <w:r w:rsidR="008A35A2">
        <w:rPr>
          <w:rFonts w:asciiTheme="majorHAnsi" w:hAnsiTheme="majorHAnsi" w:cs="Times New Roman"/>
          <w:color w:val="auto"/>
        </w:rPr>
        <w:t xml:space="preserve">tj. </w:t>
      </w:r>
      <w:r w:rsidRPr="00353C40">
        <w:rPr>
          <w:rFonts w:asciiTheme="majorHAnsi" w:hAnsiTheme="majorHAnsi" w:cs="Times New Roman"/>
          <w:color w:val="auto"/>
        </w:rPr>
        <w:t>vytváření vlastní nákupní strategie</w:t>
      </w:r>
      <w:r w:rsidR="008A35A2">
        <w:rPr>
          <w:rFonts w:asciiTheme="majorHAnsi" w:hAnsiTheme="majorHAnsi" w:cs="Times New Roman"/>
          <w:color w:val="auto"/>
        </w:rPr>
        <w:t>.</w:t>
      </w:r>
      <w:r>
        <w:rPr>
          <w:rFonts w:asciiTheme="majorHAnsi" w:hAnsiTheme="majorHAnsi" w:cs="Times New Roman"/>
          <w:color w:val="auto"/>
        </w:rPr>
        <w:t xml:space="preserve"> </w:t>
      </w:r>
    </w:p>
    <w:p w14:paraId="5F24CBF2" w14:textId="77777777" w:rsidR="009257F4" w:rsidRPr="00353C40" w:rsidRDefault="009257F4" w:rsidP="009257F4">
      <w:pPr>
        <w:pStyle w:val="Default"/>
        <w:jc w:val="both"/>
        <w:rPr>
          <w:rFonts w:asciiTheme="majorHAnsi" w:hAnsiTheme="majorHAnsi" w:cs="Times New Roman"/>
          <w:color w:val="auto"/>
        </w:rPr>
      </w:pPr>
    </w:p>
    <w:p w14:paraId="5F24CBF3" w14:textId="77777777" w:rsidR="009257F4" w:rsidRDefault="009257F4" w:rsidP="009257F4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  <w:r w:rsidRPr="00353C40">
        <w:rPr>
          <w:rFonts w:asciiTheme="majorHAnsi" w:hAnsiTheme="majorHAnsi"/>
          <w:b/>
          <w:bCs/>
          <w:color w:val="auto"/>
        </w:rPr>
        <w:t xml:space="preserve">Marketingový mix v nákupu </w:t>
      </w:r>
    </w:p>
    <w:p w14:paraId="5F24CBF4" w14:textId="77777777" w:rsidR="009257F4" w:rsidRPr="00676444" w:rsidRDefault="00B35887" w:rsidP="00833E7E">
      <w:pPr>
        <w:pStyle w:val="Default"/>
        <w:spacing w:before="240" w:line="276" w:lineRule="auto"/>
        <w:jc w:val="both"/>
        <w:rPr>
          <w:rFonts w:asciiTheme="majorHAnsi" w:hAnsiTheme="majorHAnsi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Zahrnuje tyto </w:t>
      </w:r>
      <w:r w:rsidR="009257F4" w:rsidRPr="00353C40">
        <w:rPr>
          <w:rFonts w:asciiTheme="majorHAnsi" w:hAnsiTheme="majorHAnsi" w:cs="Times New Roman"/>
          <w:color w:val="auto"/>
        </w:rPr>
        <w:t>manažersk</w:t>
      </w:r>
      <w:r>
        <w:rPr>
          <w:rFonts w:asciiTheme="majorHAnsi" w:hAnsiTheme="majorHAnsi" w:cs="Times New Roman"/>
          <w:color w:val="auto"/>
        </w:rPr>
        <w:t xml:space="preserve">é aktivity </w:t>
      </w:r>
      <w:r w:rsidR="009257F4" w:rsidRPr="00353C40">
        <w:rPr>
          <w:rFonts w:asciiTheme="majorHAnsi" w:hAnsiTheme="majorHAnsi" w:cs="Times New Roman"/>
          <w:color w:val="auto"/>
        </w:rPr>
        <w:t xml:space="preserve">nákupu: </w:t>
      </w:r>
    </w:p>
    <w:p w14:paraId="5F24CBF5" w14:textId="77777777" w:rsidR="009257F4" w:rsidRPr="00353C40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353C40">
        <w:rPr>
          <w:rFonts w:asciiTheme="majorHAnsi" w:hAnsiTheme="majorHAnsi" w:cs="Times New Roman"/>
          <w:color w:val="auto"/>
        </w:rPr>
        <w:t xml:space="preserve">1) informační a komunikační mix (určení potřeb a zdrojů), </w:t>
      </w:r>
    </w:p>
    <w:p w14:paraId="5F24CBF6" w14:textId="77777777" w:rsidR="009257F4" w:rsidRPr="00353C40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353C40">
        <w:rPr>
          <w:rFonts w:asciiTheme="majorHAnsi" w:hAnsiTheme="majorHAnsi" w:cs="Times New Roman"/>
          <w:color w:val="auto"/>
        </w:rPr>
        <w:t xml:space="preserve">2) výrobkový mix a mix služeb (stanovení sortimentu), </w:t>
      </w:r>
    </w:p>
    <w:p w14:paraId="5F24CBF7" w14:textId="77777777" w:rsidR="009257F4" w:rsidRPr="00353C40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353C40">
        <w:rPr>
          <w:rFonts w:asciiTheme="majorHAnsi" w:hAnsiTheme="majorHAnsi" w:cs="Times New Roman"/>
          <w:color w:val="auto"/>
        </w:rPr>
        <w:t xml:space="preserve">3) cenový a kontraktační mix (vyhotovení objednávky, uzavření smlouvy), </w:t>
      </w:r>
    </w:p>
    <w:p w14:paraId="5F24CBF8" w14:textId="77777777" w:rsidR="009257F4" w:rsidRPr="00353C40" w:rsidRDefault="009257F4" w:rsidP="009257F4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  <w:r w:rsidRPr="00353C40">
        <w:rPr>
          <w:rFonts w:asciiTheme="majorHAnsi" w:hAnsiTheme="majorHAnsi" w:cs="Times New Roman"/>
          <w:color w:val="auto"/>
        </w:rPr>
        <w:t xml:space="preserve">4) logistický mix (dodávky, uskladňování, udržování a přemisťování zásob). </w:t>
      </w:r>
    </w:p>
    <w:p w14:paraId="5F24CBF9" w14:textId="77777777" w:rsidR="009257F4" w:rsidRPr="00353C40" w:rsidRDefault="009257F4" w:rsidP="009257F4">
      <w:pPr>
        <w:pStyle w:val="Default"/>
        <w:spacing w:line="276" w:lineRule="auto"/>
        <w:rPr>
          <w:rFonts w:asciiTheme="majorHAnsi" w:hAnsiTheme="majorHAnsi" w:cs="Times New Roman"/>
          <w:color w:val="auto"/>
        </w:rPr>
      </w:pPr>
    </w:p>
    <w:p w14:paraId="5F24CBFA" w14:textId="77777777" w:rsidR="009257F4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b/>
          <w:bCs/>
          <w:color w:val="auto"/>
        </w:rPr>
      </w:pPr>
      <w:r w:rsidRPr="00353C40">
        <w:rPr>
          <w:rFonts w:asciiTheme="majorHAnsi" w:hAnsiTheme="majorHAnsi" w:cs="Times New Roman"/>
          <w:b/>
          <w:bCs/>
          <w:color w:val="auto"/>
        </w:rPr>
        <w:t>Informační mix</w:t>
      </w:r>
    </w:p>
    <w:p w14:paraId="5F24CBFB" w14:textId="77777777" w:rsidR="009257F4" w:rsidRDefault="009257F4" w:rsidP="00AC0581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833E7E">
        <w:rPr>
          <w:rFonts w:asciiTheme="majorHAnsi" w:hAnsiTheme="majorHAnsi" w:cs="Times New Roman"/>
          <w:b/>
          <w:bCs/>
          <w:color w:val="auto"/>
        </w:rPr>
        <w:t xml:space="preserve"> </w:t>
      </w:r>
      <w:r w:rsidRPr="00833E7E">
        <w:rPr>
          <w:rFonts w:asciiTheme="majorHAnsi" w:hAnsiTheme="majorHAnsi" w:cs="Times New Roman"/>
          <w:color w:val="auto"/>
        </w:rPr>
        <w:t xml:space="preserve">je schopnost vytvářet a využívat informační systémy nákupu při rozhodování. Obsahuje informační soubory o cenách, výrobcích, dodavatelích, daních, clech, dodacích podmínkách, publicitě, image. Zdrojem informací jsou propagační materiály dodavatelů, zkušenosti z nákupu, výstavy, odborný tisk apod. </w:t>
      </w:r>
    </w:p>
    <w:p w14:paraId="5F24CBFC" w14:textId="77777777" w:rsidR="00833E7E" w:rsidRPr="00833E7E" w:rsidRDefault="00833E7E" w:rsidP="00833E7E">
      <w:pPr>
        <w:pStyle w:val="Default"/>
        <w:spacing w:line="276" w:lineRule="auto"/>
        <w:ind w:left="720"/>
        <w:jc w:val="both"/>
        <w:rPr>
          <w:rFonts w:asciiTheme="majorHAnsi" w:hAnsiTheme="majorHAnsi" w:cs="Times New Roman"/>
          <w:color w:val="auto"/>
        </w:rPr>
      </w:pPr>
    </w:p>
    <w:p w14:paraId="5F24CBFD" w14:textId="77777777" w:rsidR="009257F4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b/>
          <w:bCs/>
          <w:color w:val="auto"/>
        </w:rPr>
      </w:pPr>
      <w:r w:rsidRPr="00A151EB">
        <w:rPr>
          <w:rFonts w:asciiTheme="majorHAnsi" w:hAnsiTheme="majorHAnsi" w:cs="Times New Roman"/>
          <w:b/>
          <w:bCs/>
          <w:color w:val="auto"/>
        </w:rPr>
        <w:t xml:space="preserve">Komunikační mix </w:t>
      </w:r>
    </w:p>
    <w:p w14:paraId="5F24CBFE" w14:textId="77777777" w:rsidR="009257F4" w:rsidRPr="00A151EB" w:rsidRDefault="009257F4" w:rsidP="00AC0581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A151EB">
        <w:rPr>
          <w:rFonts w:asciiTheme="majorHAnsi" w:hAnsiTheme="majorHAnsi" w:cs="Times New Roman"/>
          <w:color w:val="auto"/>
        </w:rPr>
        <w:t>je soubor nástrojů, které podnik používá pro komunikaci uvnitř podniku i při jednání s dodavateli. Zahrnuje výzkum a volbu dodavatelů</w:t>
      </w:r>
      <w:r w:rsidRPr="00A151EB">
        <w:rPr>
          <w:rFonts w:asciiTheme="majorHAnsi" w:hAnsiTheme="majorHAnsi" w:cs="Times New Roman"/>
          <w:b/>
          <w:bCs/>
          <w:color w:val="auto"/>
        </w:rPr>
        <w:t xml:space="preserve">, </w:t>
      </w:r>
      <w:r w:rsidRPr="00A151EB">
        <w:rPr>
          <w:rFonts w:asciiTheme="majorHAnsi" w:hAnsiTheme="majorHAnsi" w:cs="Times New Roman"/>
          <w:color w:val="auto"/>
        </w:rPr>
        <w:t xml:space="preserve">jednání s dodavateli, projednávání a uskutečňování dodávek, jednání i po uskutečnění dodávek, péče o dlouhodobé partnerství s dodavateli. Pracovníci nákupu plně využívají pro získávání informací moderní výpočetní techniku a internet. </w:t>
      </w:r>
    </w:p>
    <w:p w14:paraId="5F24CBFF" w14:textId="77777777" w:rsidR="009257F4" w:rsidRDefault="009257F4" w:rsidP="009257F4">
      <w:pPr>
        <w:pStyle w:val="Default"/>
        <w:rPr>
          <w:rFonts w:asciiTheme="majorHAnsi" w:hAnsiTheme="majorHAnsi" w:cs="Times New Roman"/>
          <w:b/>
          <w:bCs/>
          <w:color w:val="auto"/>
        </w:rPr>
      </w:pPr>
    </w:p>
    <w:p w14:paraId="5F24CC00" w14:textId="77777777" w:rsidR="009257F4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b/>
          <w:bCs/>
          <w:color w:val="auto"/>
        </w:rPr>
      </w:pPr>
      <w:r w:rsidRPr="00A151EB">
        <w:rPr>
          <w:rFonts w:asciiTheme="majorHAnsi" w:hAnsiTheme="majorHAnsi" w:cs="Times New Roman"/>
          <w:b/>
          <w:bCs/>
          <w:color w:val="auto"/>
        </w:rPr>
        <w:t xml:space="preserve">Výrobkový nákupní mix </w:t>
      </w:r>
    </w:p>
    <w:p w14:paraId="5F24CC01" w14:textId="77777777" w:rsidR="00833E7E" w:rsidRPr="00833E7E" w:rsidRDefault="009257F4" w:rsidP="00AC0581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  <w:b/>
          <w:bCs/>
          <w:color w:val="auto"/>
        </w:rPr>
      </w:pPr>
      <w:r w:rsidRPr="00833E7E">
        <w:rPr>
          <w:rFonts w:asciiTheme="majorHAnsi" w:hAnsiTheme="majorHAnsi" w:cs="Times New Roman"/>
          <w:color w:val="auto"/>
        </w:rPr>
        <w:t xml:space="preserve">souvisí se schopností nákupu vybrat </w:t>
      </w:r>
      <w:r w:rsidRPr="00833E7E">
        <w:rPr>
          <w:rFonts w:asciiTheme="majorHAnsi" w:hAnsiTheme="majorHAnsi" w:cs="Times New Roman"/>
          <w:b/>
          <w:bCs/>
          <w:color w:val="auto"/>
        </w:rPr>
        <w:t>nejvhodnější výrobek</w:t>
      </w:r>
      <w:r w:rsidRPr="00833E7E">
        <w:rPr>
          <w:rFonts w:asciiTheme="majorHAnsi" w:hAnsiTheme="majorHAnsi" w:cs="Times New Roman"/>
          <w:color w:val="auto"/>
        </w:rPr>
        <w:t>, který bude mít nejlepší vlastnosti</w:t>
      </w:r>
      <w:r w:rsidR="00833E7E" w:rsidRPr="00833E7E">
        <w:rPr>
          <w:rFonts w:asciiTheme="majorHAnsi" w:hAnsiTheme="majorHAnsi" w:cs="Times New Roman"/>
          <w:color w:val="auto"/>
        </w:rPr>
        <w:t xml:space="preserve"> pro výrobu finálního produktu. </w:t>
      </w:r>
      <w:r w:rsidRPr="00833E7E">
        <w:rPr>
          <w:rFonts w:asciiTheme="majorHAnsi" w:hAnsiTheme="majorHAnsi" w:cs="Times New Roman"/>
          <w:color w:val="auto"/>
        </w:rPr>
        <w:t xml:space="preserve">Posuzuje se kvalita, šířka a hloubka sortimentu, funkčnost, komplementy, spolehlivost, normy standardizace. Součástí výrobkového mixu je i zvažování </w:t>
      </w:r>
      <w:r w:rsidRPr="00833E7E">
        <w:rPr>
          <w:rFonts w:asciiTheme="majorHAnsi" w:hAnsiTheme="majorHAnsi" w:cs="Times New Roman"/>
          <w:b/>
          <w:bCs/>
          <w:color w:val="auto"/>
        </w:rPr>
        <w:t xml:space="preserve">substituce materiálů </w:t>
      </w:r>
      <w:r w:rsidRPr="00833E7E">
        <w:rPr>
          <w:rFonts w:asciiTheme="majorHAnsi" w:hAnsiTheme="majorHAnsi" w:cs="Times New Roman"/>
          <w:color w:val="auto"/>
        </w:rPr>
        <w:t xml:space="preserve">levnějšími nebo progresivnějšími. </w:t>
      </w:r>
    </w:p>
    <w:p w14:paraId="5F24CC02" w14:textId="77777777" w:rsidR="00833E7E" w:rsidRDefault="00833E7E" w:rsidP="00833E7E">
      <w:pPr>
        <w:pStyle w:val="Default"/>
        <w:spacing w:line="276" w:lineRule="auto"/>
        <w:ind w:left="360"/>
        <w:jc w:val="both"/>
        <w:rPr>
          <w:rFonts w:asciiTheme="majorHAnsi" w:hAnsiTheme="majorHAnsi" w:cs="Times New Roman"/>
          <w:color w:val="auto"/>
        </w:rPr>
      </w:pPr>
    </w:p>
    <w:p w14:paraId="5F24CC03" w14:textId="77777777" w:rsidR="009257F4" w:rsidRPr="00833E7E" w:rsidRDefault="009257F4" w:rsidP="004475DB">
      <w:pPr>
        <w:pStyle w:val="Default"/>
        <w:spacing w:line="276" w:lineRule="auto"/>
        <w:jc w:val="both"/>
        <w:rPr>
          <w:rFonts w:asciiTheme="majorHAnsi" w:hAnsiTheme="majorHAnsi" w:cs="Times New Roman"/>
          <w:b/>
          <w:bCs/>
          <w:color w:val="auto"/>
        </w:rPr>
      </w:pPr>
      <w:r w:rsidRPr="00833E7E">
        <w:rPr>
          <w:rFonts w:asciiTheme="majorHAnsi" w:hAnsiTheme="majorHAnsi" w:cs="Times New Roman"/>
          <w:b/>
          <w:bCs/>
          <w:color w:val="auto"/>
        </w:rPr>
        <w:t xml:space="preserve">Mix služeb </w:t>
      </w:r>
    </w:p>
    <w:p w14:paraId="5F24CC04" w14:textId="77777777" w:rsidR="009257F4" w:rsidRPr="00A151EB" w:rsidRDefault="009257F4" w:rsidP="00AC0581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A151EB">
        <w:rPr>
          <w:rFonts w:asciiTheme="majorHAnsi" w:hAnsiTheme="majorHAnsi" w:cs="Times New Roman"/>
          <w:color w:val="auto"/>
        </w:rPr>
        <w:t>je spojován se schop</w:t>
      </w:r>
      <w:r>
        <w:rPr>
          <w:rFonts w:asciiTheme="majorHAnsi" w:hAnsiTheme="majorHAnsi" w:cs="Times New Roman"/>
          <w:color w:val="auto"/>
        </w:rPr>
        <w:t xml:space="preserve">ností podnikového nákupu </w:t>
      </w:r>
      <w:r w:rsidRPr="00A151EB">
        <w:rPr>
          <w:rFonts w:asciiTheme="majorHAnsi" w:hAnsiTheme="majorHAnsi" w:cs="Times New Roman"/>
          <w:color w:val="auto"/>
        </w:rPr>
        <w:t>posoudit nabídku služeb spojených s dodávkou výrobků nebo nakupovaných služeb od externích dodavatelů</w:t>
      </w:r>
      <w:r w:rsidR="00833E7E">
        <w:rPr>
          <w:rFonts w:asciiTheme="majorHAnsi" w:hAnsiTheme="majorHAnsi" w:cs="Times New Roman"/>
          <w:color w:val="auto"/>
        </w:rPr>
        <w:t>.</w:t>
      </w:r>
      <w:r w:rsidRPr="00A151EB">
        <w:rPr>
          <w:rFonts w:asciiTheme="majorHAnsi" w:hAnsiTheme="majorHAnsi" w:cs="Times New Roman"/>
          <w:color w:val="auto"/>
        </w:rPr>
        <w:t xml:space="preserve"> </w:t>
      </w:r>
    </w:p>
    <w:p w14:paraId="5F24CC05" w14:textId="77777777" w:rsidR="009257F4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b/>
          <w:bCs/>
          <w:color w:val="auto"/>
        </w:rPr>
      </w:pPr>
    </w:p>
    <w:p w14:paraId="5F24CC06" w14:textId="77777777" w:rsidR="009257F4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b/>
          <w:bCs/>
          <w:color w:val="auto"/>
        </w:rPr>
      </w:pPr>
      <w:r w:rsidRPr="00A151EB">
        <w:rPr>
          <w:rFonts w:asciiTheme="majorHAnsi" w:hAnsiTheme="majorHAnsi" w:cs="Times New Roman"/>
          <w:b/>
          <w:bCs/>
          <w:color w:val="auto"/>
        </w:rPr>
        <w:t>Cenový mix</w:t>
      </w:r>
    </w:p>
    <w:p w14:paraId="5F24CC07" w14:textId="77777777" w:rsidR="009257F4" w:rsidRDefault="00833E7E" w:rsidP="009257F4">
      <w:pPr>
        <w:pStyle w:val="Default"/>
        <w:spacing w:after="240" w:line="276" w:lineRule="auto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 xml:space="preserve">Aktivní cenová </w:t>
      </w:r>
      <w:r w:rsidR="009257F4" w:rsidRPr="00E27EAD">
        <w:rPr>
          <w:rFonts w:asciiTheme="majorHAnsi" w:hAnsiTheme="majorHAnsi" w:cs="Times New Roman"/>
          <w:color w:val="auto"/>
        </w:rPr>
        <w:t>politik</w:t>
      </w:r>
      <w:r>
        <w:rPr>
          <w:rFonts w:asciiTheme="majorHAnsi" w:hAnsiTheme="majorHAnsi" w:cs="Times New Roman"/>
          <w:color w:val="auto"/>
        </w:rPr>
        <w:t>a podnikového nákupu zaměřená</w:t>
      </w:r>
      <w:r w:rsidR="009257F4" w:rsidRPr="00E27EAD">
        <w:rPr>
          <w:rFonts w:asciiTheme="majorHAnsi" w:hAnsiTheme="majorHAnsi" w:cs="Times New Roman"/>
          <w:color w:val="auto"/>
        </w:rPr>
        <w:t xml:space="preserve"> na dosažení ceny spojené s minimálními náklady dodávky. </w:t>
      </w:r>
    </w:p>
    <w:p w14:paraId="5F24CC08" w14:textId="77777777" w:rsidR="009257F4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b/>
          <w:bCs/>
          <w:color w:val="auto"/>
        </w:rPr>
      </w:pPr>
      <w:r w:rsidRPr="00E27EAD">
        <w:rPr>
          <w:rFonts w:asciiTheme="majorHAnsi" w:hAnsiTheme="majorHAnsi" w:cs="Times New Roman"/>
          <w:b/>
          <w:bCs/>
          <w:color w:val="auto"/>
        </w:rPr>
        <w:lastRenderedPageBreak/>
        <w:t>Kontraktační mix</w:t>
      </w:r>
    </w:p>
    <w:p w14:paraId="5F24CC09" w14:textId="77777777" w:rsidR="009257F4" w:rsidRDefault="00833E7E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S</w:t>
      </w:r>
      <w:r w:rsidR="009257F4" w:rsidRPr="00E27EAD">
        <w:rPr>
          <w:rFonts w:asciiTheme="majorHAnsi" w:hAnsiTheme="majorHAnsi" w:cs="Times New Roman"/>
          <w:color w:val="auto"/>
        </w:rPr>
        <w:t>ouvisí se stanovením strategie v rámci doda</w:t>
      </w:r>
      <w:r w:rsidR="009257F4">
        <w:rPr>
          <w:rFonts w:asciiTheme="majorHAnsi" w:hAnsiTheme="majorHAnsi" w:cs="Times New Roman"/>
          <w:color w:val="auto"/>
        </w:rPr>
        <w:t>vatelsko-odběratelských vztahů, což představuje</w:t>
      </w:r>
      <w:r w:rsidR="009257F4" w:rsidRPr="00E27EAD">
        <w:rPr>
          <w:rFonts w:asciiTheme="majorHAnsi" w:hAnsiTheme="majorHAnsi" w:cs="Times New Roman"/>
          <w:color w:val="auto"/>
        </w:rPr>
        <w:t xml:space="preserve"> informac</w:t>
      </w:r>
      <w:r w:rsidR="009257F4">
        <w:rPr>
          <w:rFonts w:asciiTheme="majorHAnsi" w:hAnsiTheme="majorHAnsi" w:cs="Times New Roman"/>
          <w:color w:val="auto"/>
        </w:rPr>
        <w:t>e</w:t>
      </w:r>
      <w:r w:rsidR="009257F4" w:rsidRPr="00E27EAD">
        <w:rPr>
          <w:rFonts w:asciiTheme="majorHAnsi" w:hAnsiTheme="majorHAnsi" w:cs="Times New Roman"/>
          <w:color w:val="auto"/>
        </w:rPr>
        <w:t xml:space="preserve"> o cenové vstřícnosti dodavatelů a ochotě jednat o cenách, rabatech a slevách, jednáním při uzavírání smlouvy, ur</w:t>
      </w:r>
      <w:r w:rsidR="009257F4">
        <w:rPr>
          <w:rFonts w:asciiTheme="majorHAnsi" w:hAnsiTheme="majorHAnsi" w:cs="Times New Roman"/>
          <w:color w:val="auto"/>
        </w:rPr>
        <w:t xml:space="preserve">čením způsobu objednání dodávek, </w:t>
      </w:r>
      <w:r w:rsidR="009257F4" w:rsidRPr="00E27EAD">
        <w:rPr>
          <w:rFonts w:asciiTheme="majorHAnsi" w:hAnsiTheme="majorHAnsi" w:cs="Times New Roman"/>
          <w:color w:val="auto"/>
        </w:rPr>
        <w:t>platební podmínky</w:t>
      </w:r>
      <w:r w:rsidR="009257F4">
        <w:rPr>
          <w:rFonts w:asciiTheme="majorHAnsi" w:hAnsiTheme="majorHAnsi" w:cs="Times New Roman"/>
          <w:color w:val="auto"/>
        </w:rPr>
        <w:t>.</w:t>
      </w:r>
    </w:p>
    <w:p w14:paraId="5F24CC0A" w14:textId="77777777" w:rsidR="009257F4" w:rsidRPr="00E27EAD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E27EAD">
        <w:rPr>
          <w:rFonts w:asciiTheme="majorHAnsi" w:hAnsiTheme="majorHAnsi" w:cs="Times New Roman"/>
          <w:color w:val="auto"/>
        </w:rPr>
        <w:t xml:space="preserve"> </w:t>
      </w:r>
    </w:p>
    <w:p w14:paraId="5F24CC0B" w14:textId="77777777" w:rsidR="009257F4" w:rsidRPr="00A151EB" w:rsidRDefault="009257F4" w:rsidP="00610F05">
      <w:pPr>
        <w:pStyle w:val="Default"/>
        <w:jc w:val="both"/>
        <w:rPr>
          <w:rFonts w:asciiTheme="majorHAnsi" w:hAnsiTheme="majorHAnsi" w:cs="Times New Roman"/>
          <w:color w:val="auto"/>
        </w:rPr>
      </w:pPr>
      <w:r w:rsidRPr="00A151EB">
        <w:rPr>
          <w:rFonts w:asciiTheme="majorHAnsi" w:hAnsiTheme="majorHAnsi" w:cs="Times New Roman"/>
          <w:b/>
          <w:bCs/>
          <w:color w:val="auto"/>
        </w:rPr>
        <w:t xml:space="preserve">Logistický mix </w:t>
      </w:r>
    </w:p>
    <w:p w14:paraId="5F24CC0C" w14:textId="77777777" w:rsidR="009257F4" w:rsidRDefault="00833E7E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R</w:t>
      </w:r>
      <w:r w:rsidR="009257F4" w:rsidRPr="00A151EB">
        <w:rPr>
          <w:rFonts w:asciiTheme="majorHAnsi" w:hAnsiTheme="majorHAnsi" w:cs="Times New Roman"/>
          <w:color w:val="auto"/>
        </w:rPr>
        <w:t xml:space="preserve">ozhodování o nákupních logistických podmínkách </w:t>
      </w:r>
      <w:r w:rsidR="009257F4">
        <w:rPr>
          <w:rFonts w:asciiTheme="majorHAnsi" w:hAnsiTheme="majorHAnsi" w:cs="Times New Roman"/>
          <w:color w:val="auto"/>
        </w:rPr>
        <w:t xml:space="preserve">- </w:t>
      </w:r>
      <w:r w:rsidR="009257F4" w:rsidRPr="00A151EB">
        <w:rPr>
          <w:rFonts w:asciiTheme="majorHAnsi" w:hAnsiTheme="majorHAnsi" w:cs="Times New Roman"/>
          <w:color w:val="auto"/>
        </w:rPr>
        <w:t>jak realizovat vlastní nákup výrobku s jeho dor</w:t>
      </w:r>
      <w:r w:rsidR="009257F4">
        <w:rPr>
          <w:rFonts w:asciiTheme="majorHAnsi" w:hAnsiTheme="majorHAnsi" w:cs="Times New Roman"/>
          <w:color w:val="auto"/>
        </w:rPr>
        <w:t>učením na místo reálné spotřeby</w:t>
      </w:r>
      <w:r>
        <w:rPr>
          <w:rFonts w:asciiTheme="majorHAnsi" w:hAnsiTheme="majorHAnsi" w:cs="Times New Roman"/>
          <w:color w:val="auto"/>
        </w:rPr>
        <w:t xml:space="preserve">, </w:t>
      </w:r>
      <w:r w:rsidR="009257F4" w:rsidRPr="00A151EB">
        <w:rPr>
          <w:rFonts w:asciiTheme="majorHAnsi" w:hAnsiTheme="majorHAnsi" w:cs="Times New Roman"/>
          <w:color w:val="auto"/>
        </w:rPr>
        <w:t xml:space="preserve">rozhodnutí o dodávkové cestě a způsobu realizace dodávek, hospodárnost, pružnost, spolehlivost, dodávkový režim, ztráty na dodávkové cestě. </w:t>
      </w:r>
    </w:p>
    <w:p w14:paraId="5F24CC0D" w14:textId="77777777" w:rsidR="00833E7E" w:rsidRPr="00A151EB" w:rsidRDefault="00833E7E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</w:p>
    <w:p w14:paraId="5F24CC0E" w14:textId="77777777" w:rsidR="009257F4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A151EB">
        <w:rPr>
          <w:rFonts w:asciiTheme="majorHAnsi" w:hAnsiTheme="majorHAnsi" w:cs="Times New Roman"/>
          <w:color w:val="auto"/>
        </w:rPr>
        <w:t xml:space="preserve">Nutnost zajistit optimální harmonizaci míst styku navazujících subsystémů (dodavatel – přejímka – sklad – uskladnění – zásoba – příprava pro spotřebitele – kompletace – aktivní přísun na místa spotřeby – odpad – recyklace). </w:t>
      </w:r>
    </w:p>
    <w:p w14:paraId="5F24CC0F" w14:textId="77777777" w:rsidR="009257F4" w:rsidRPr="00A151EB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</w:p>
    <w:p w14:paraId="5F24CC10" w14:textId="77777777" w:rsidR="009257F4" w:rsidRPr="00A151EB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A151EB">
        <w:rPr>
          <w:rFonts w:asciiTheme="majorHAnsi" w:hAnsiTheme="majorHAnsi" w:cs="Times New Roman"/>
          <w:b/>
          <w:bCs/>
          <w:color w:val="auto"/>
        </w:rPr>
        <w:t xml:space="preserve">Nákupní výzkum trhu </w:t>
      </w:r>
    </w:p>
    <w:p w14:paraId="5F24CC11" w14:textId="77777777" w:rsidR="009257F4" w:rsidRPr="00A151EB" w:rsidRDefault="009257F4" w:rsidP="009257F4">
      <w:pPr>
        <w:pStyle w:val="Default"/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A151EB">
        <w:rPr>
          <w:rFonts w:asciiTheme="majorHAnsi" w:hAnsiTheme="majorHAnsi" w:cs="Times New Roman"/>
          <w:color w:val="auto"/>
        </w:rPr>
        <w:t>Jde o souhrn aktivit, které umožňují nejlepší volbu dodavatel</w:t>
      </w:r>
      <w:r>
        <w:rPr>
          <w:rFonts w:asciiTheme="majorHAnsi" w:hAnsiTheme="majorHAnsi" w:cs="Times New Roman"/>
          <w:color w:val="auto"/>
        </w:rPr>
        <w:t xml:space="preserve">e a podmínek realizace dodávek. Zdrojem informací </w:t>
      </w:r>
      <w:r w:rsidRPr="00A151EB">
        <w:rPr>
          <w:rFonts w:asciiTheme="majorHAnsi" w:hAnsiTheme="majorHAnsi" w:cs="Times New Roman"/>
          <w:color w:val="auto"/>
        </w:rPr>
        <w:t xml:space="preserve">jsou: </w:t>
      </w:r>
    </w:p>
    <w:p w14:paraId="5F24CC12" w14:textId="77777777" w:rsidR="009257F4" w:rsidRPr="00A151EB" w:rsidRDefault="009257F4" w:rsidP="00AC0581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t</w:t>
      </w:r>
      <w:r w:rsidRPr="00A151EB">
        <w:rPr>
          <w:rFonts w:asciiTheme="majorHAnsi" w:hAnsiTheme="majorHAnsi" w:cs="Times New Roman"/>
          <w:color w:val="auto"/>
        </w:rPr>
        <w:t xml:space="preserve">erénní výzkum, </w:t>
      </w:r>
    </w:p>
    <w:p w14:paraId="5F24CC13" w14:textId="77777777" w:rsidR="009257F4" w:rsidRPr="00A151EB" w:rsidRDefault="009257F4" w:rsidP="00AC0581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="Times New Roman"/>
          <w:color w:val="auto"/>
        </w:rPr>
      </w:pPr>
      <w:r w:rsidRPr="00A151EB">
        <w:rPr>
          <w:rFonts w:asciiTheme="majorHAnsi" w:hAnsiTheme="majorHAnsi" w:cs="Times New Roman"/>
          <w:color w:val="auto"/>
        </w:rPr>
        <w:t>informac</w:t>
      </w:r>
      <w:r>
        <w:rPr>
          <w:rFonts w:asciiTheme="majorHAnsi" w:hAnsiTheme="majorHAnsi" w:cs="Times New Roman"/>
          <w:color w:val="auto"/>
        </w:rPr>
        <w:t>e</w:t>
      </w:r>
      <w:r w:rsidRPr="00A151EB">
        <w:rPr>
          <w:rFonts w:asciiTheme="majorHAnsi" w:hAnsiTheme="majorHAnsi" w:cs="Times New Roman"/>
          <w:color w:val="auto"/>
        </w:rPr>
        <w:t xml:space="preserve"> v odborném tisku, </w:t>
      </w:r>
    </w:p>
    <w:p w14:paraId="5F24CC14" w14:textId="77777777" w:rsidR="009257F4" w:rsidRPr="00083C6E" w:rsidRDefault="009257F4" w:rsidP="00AC058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i</w:t>
      </w:r>
      <w:r w:rsidRPr="00083C6E">
        <w:rPr>
          <w:rFonts w:asciiTheme="majorHAnsi" w:hAnsiTheme="majorHAnsi" w:cs="Times New Roman"/>
          <w:color w:val="000000"/>
          <w:sz w:val="24"/>
          <w:szCs w:val="24"/>
        </w:rPr>
        <w:t xml:space="preserve">nformace získané sledováním propagačních aktivit dodavatelů, </w:t>
      </w:r>
    </w:p>
    <w:p w14:paraId="5F24CC15" w14:textId="77777777" w:rsidR="009257F4" w:rsidRPr="00083C6E" w:rsidRDefault="009257F4" w:rsidP="00AC058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i</w:t>
      </w:r>
      <w:r w:rsidRPr="00083C6E">
        <w:rPr>
          <w:rFonts w:asciiTheme="majorHAnsi" w:hAnsiTheme="majorHAnsi" w:cs="Times New Roman"/>
          <w:color w:val="000000"/>
          <w:sz w:val="24"/>
          <w:szCs w:val="24"/>
        </w:rPr>
        <w:t xml:space="preserve">nformace z výstav, veletrhů, prezentací a předvádění nových výrobků, </w:t>
      </w:r>
    </w:p>
    <w:p w14:paraId="5F24CC16" w14:textId="77777777" w:rsidR="009257F4" w:rsidRPr="00083C6E" w:rsidRDefault="009257F4" w:rsidP="00AC058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z</w:t>
      </w:r>
      <w:r w:rsidRPr="00083C6E">
        <w:rPr>
          <w:rFonts w:asciiTheme="majorHAnsi" w:hAnsiTheme="majorHAnsi" w:cs="Times New Roman"/>
          <w:color w:val="000000"/>
          <w:sz w:val="24"/>
          <w:szCs w:val="24"/>
        </w:rPr>
        <w:t xml:space="preserve">právy z obchodních jednání. </w:t>
      </w:r>
    </w:p>
    <w:p w14:paraId="5F24CC17" w14:textId="77777777" w:rsidR="009257F4" w:rsidRDefault="009257F4" w:rsidP="009257F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5F24CC18" w14:textId="77777777" w:rsidR="009257F4" w:rsidRPr="00A151EB" w:rsidRDefault="009257F4" w:rsidP="009257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151EB">
        <w:rPr>
          <w:rFonts w:asciiTheme="majorHAnsi" w:hAnsiTheme="majorHAnsi" w:cs="Cambria"/>
          <w:b/>
          <w:bCs/>
          <w:color w:val="000000"/>
          <w:sz w:val="24"/>
          <w:szCs w:val="24"/>
        </w:rPr>
        <w:t xml:space="preserve">Obsah nákupního marketingu </w:t>
      </w:r>
      <w:r w:rsidRPr="00A151EB">
        <w:rPr>
          <w:rFonts w:asciiTheme="majorHAnsi" w:hAnsiTheme="majorHAnsi" w:cs="Times New Roman"/>
          <w:color w:val="000000"/>
          <w:sz w:val="24"/>
          <w:szCs w:val="24"/>
        </w:rPr>
        <w:t xml:space="preserve">je možné rozdělit na dvě části: </w:t>
      </w:r>
    </w:p>
    <w:p w14:paraId="5F24CC19" w14:textId="77777777" w:rsidR="009257F4" w:rsidRPr="00610F05" w:rsidRDefault="009257F4" w:rsidP="00AC058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81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10F05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Poznávací část </w:t>
      </w:r>
      <w:r w:rsidRPr="00610F05">
        <w:rPr>
          <w:rFonts w:asciiTheme="majorHAnsi" w:hAnsiTheme="majorHAnsi" w:cs="Times New Roman"/>
          <w:color w:val="000000"/>
          <w:sz w:val="24"/>
          <w:szCs w:val="24"/>
        </w:rPr>
        <w:t>– zahrnuje situační analýzu, volbu nákupních cílů a strategie, poznání potřeb a požadavků, analýzu a volbu nákupního trhu.</w:t>
      </w:r>
    </w:p>
    <w:p w14:paraId="5F24CC1A" w14:textId="77777777" w:rsidR="009257F4" w:rsidRPr="00610F05" w:rsidRDefault="009257F4" w:rsidP="00AC0581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10F05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Realizační část </w:t>
      </w:r>
      <w:r w:rsidRPr="00610F05">
        <w:rPr>
          <w:rFonts w:asciiTheme="majorHAnsi" w:hAnsiTheme="majorHAnsi" w:cs="Times New Roman"/>
          <w:color w:val="000000"/>
          <w:sz w:val="24"/>
          <w:szCs w:val="24"/>
        </w:rPr>
        <w:t xml:space="preserve">– obsahuje analýzu a volbu dodavatele, poptávku a hodnocení nabídky, jednání s dodavateli a hodnocení dodavatelů. </w:t>
      </w:r>
    </w:p>
    <w:p w14:paraId="34B4F219" w14:textId="77777777" w:rsidR="001B7F1B" w:rsidRDefault="001B7F1B" w:rsidP="009257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</w:p>
    <w:p w14:paraId="5F24CC1B" w14:textId="075721B6" w:rsidR="009257F4" w:rsidRPr="00A151EB" w:rsidRDefault="009257F4" w:rsidP="009257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151E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Situační analýza </w:t>
      </w:r>
    </w:p>
    <w:p w14:paraId="5F24CC1C" w14:textId="19132D19" w:rsidR="009257F4" w:rsidRPr="00A151EB" w:rsidRDefault="009257F4" w:rsidP="009257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151EB">
        <w:rPr>
          <w:rFonts w:asciiTheme="majorHAnsi" w:hAnsiTheme="majorHAnsi" w:cs="Times New Roman"/>
          <w:color w:val="000000"/>
          <w:sz w:val="24"/>
          <w:szCs w:val="24"/>
        </w:rPr>
        <w:t xml:space="preserve">Cílem situační analýzy obecně je určit všechny podstatné faktory a informace, které jsou důležité pro současný i budoucí vývoj podniku. Lze </w:t>
      </w:r>
      <w:r>
        <w:rPr>
          <w:rFonts w:asciiTheme="majorHAnsi" w:hAnsiTheme="majorHAnsi" w:cs="Times New Roman"/>
          <w:color w:val="000000"/>
          <w:sz w:val="24"/>
          <w:szCs w:val="24"/>
        </w:rPr>
        <w:t>apliko</w:t>
      </w:r>
      <w:r w:rsidR="001B7F1B">
        <w:rPr>
          <w:rFonts w:asciiTheme="majorHAnsi" w:hAnsiTheme="majorHAnsi" w:cs="Times New Roman"/>
          <w:color w:val="000000"/>
          <w:sz w:val="24"/>
          <w:szCs w:val="24"/>
        </w:rPr>
        <w:t>v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at principy </w:t>
      </w:r>
      <w:r w:rsidRPr="00A151EB">
        <w:rPr>
          <w:rFonts w:asciiTheme="majorHAnsi" w:hAnsiTheme="majorHAnsi" w:cs="Times New Roman"/>
          <w:color w:val="000000"/>
          <w:sz w:val="24"/>
          <w:szCs w:val="24"/>
        </w:rPr>
        <w:t xml:space="preserve">ze SWOT analýzy, určuje se tzv. nákupní konstelace. </w:t>
      </w:r>
      <w:r w:rsidRPr="00A151EB">
        <w:rPr>
          <w:rFonts w:asciiTheme="majorHAnsi" w:hAnsiTheme="majorHAnsi" w:cs="Times New Roman"/>
          <w:b/>
          <w:bCs/>
          <w:color w:val="000000"/>
          <w:sz w:val="24"/>
          <w:szCs w:val="24"/>
        </w:rPr>
        <w:t>Posuzuj</w:t>
      </w: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í se</w:t>
      </w:r>
      <w:r w:rsidRPr="00A151EB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4 základní oblasti: </w:t>
      </w:r>
    </w:p>
    <w:p w14:paraId="5F24CC1D" w14:textId="77777777" w:rsidR="009257F4" w:rsidRPr="000B56E7" w:rsidRDefault="009257F4" w:rsidP="00AC05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8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n</w:t>
      </w:r>
      <w:r w:rsidRPr="000B56E7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ákupní trh – </w:t>
      </w:r>
      <w:r w:rsidRPr="000B56E7">
        <w:rPr>
          <w:rFonts w:asciiTheme="majorHAnsi" w:hAnsiTheme="majorHAnsi" w:cs="Times New Roman"/>
          <w:color w:val="000000"/>
          <w:sz w:val="24"/>
          <w:szCs w:val="24"/>
        </w:rPr>
        <w:t xml:space="preserve">struktura cen, rozsah nabídky, dodavatelé, </w:t>
      </w:r>
    </w:p>
    <w:p w14:paraId="5F24CC1E" w14:textId="77777777" w:rsidR="009257F4" w:rsidRPr="000B56E7" w:rsidRDefault="009257F4" w:rsidP="00AC05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8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p</w:t>
      </w:r>
      <w:r w:rsidRPr="000B56E7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rodejní trh – </w:t>
      </w:r>
      <w:r w:rsidRPr="000B56E7">
        <w:rPr>
          <w:rFonts w:asciiTheme="majorHAnsi" w:hAnsiTheme="majorHAnsi" w:cs="Times New Roman"/>
          <w:color w:val="000000"/>
          <w:sz w:val="24"/>
          <w:szCs w:val="24"/>
        </w:rPr>
        <w:t xml:space="preserve">vývoj poptávky, zákazníci, konkurence, </w:t>
      </w:r>
    </w:p>
    <w:p w14:paraId="5F24CC1F" w14:textId="77777777" w:rsidR="009257F4" w:rsidRPr="000B56E7" w:rsidRDefault="009257F4" w:rsidP="00AC05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83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s</w:t>
      </w:r>
      <w:r w:rsidRPr="000B56E7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ituaci uvnitř podniku – </w:t>
      </w:r>
      <w:r w:rsidRPr="000B56E7">
        <w:rPr>
          <w:rFonts w:asciiTheme="majorHAnsi" w:hAnsiTheme="majorHAnsi" w:cs="Times New Roman"/>
          <w:color w:val="000000"/>
          <w:sz w:val="24"/>
          <w:szCs w:val="24"/>
        </w:rPr>
        <w:t xml:space="preserve">úroveň výzkumu a vývoje, úroveň nákupu, likvidita, kvalita výroby, </w:t>
      </w:r>
    </w:p>
    <w:p w14:paraId="5F24CC20" w14:textId="77777777" w:rsidR="009257F4" w:rsidRPr="000B56E7" w:rsidRDefault="009257F4" w:rsidP="00AC05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o</w:t>
      </w:r>
      <w:r w:rsidRPr="000B56E7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kolí podniku – </w:t>
      </w:r>
      <w:r w:rsidRPr="000B56E7">
        <w:rPr>
          <w:rFonts w:asciiTheme="majorHAnsi" w:hAnsiTheme="majorHAnsi" w:cs="Times New Roman"/>
          <w:color w:val="000000"/>
          <w:sz w:val="24"/>
          <w:szCs w:val="24"/>
        </w:rPr>
        <w:t xml:space="preserve">hospodářská a politická situace, legislativa. </w:t>
      </w:r>
    </w:p>
    <w:p w14:paraId="5F24CC21" w14:textId="77777777" w:rsidR="009257F4" w:rsidRDefault="009257F4" w:rsidP="009257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5F24CC22" w14:textId="77777777" w:rsidR="009257F4" w:rsidRPr="00A151EB" w:rsidRDefault="009257F4" w:rsidP="009257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A151EB">
        <w:rPr>
          <w:rFonts w:asciiTheme="majorHAnsi" w:hAnsiTheme="majorHAnsi" w:cs="Times New Roman"/>
          <w:sz w:val="24"/>
          <w:szCs w:val="24"/>
        </w:rPr>
        <w:t xml:space="preserve">Součástí strategického rozhodování je i zvážení možnosti využití </w:t>
      </w:r>
      <w:r w:rsidRPr="00A151EB">
        <w:rPr>
          <w:rFonts w:asciiTheme="majorHAnsi" w:hAnsiTheme="majorHAnsi" w:cs="Times New Roman"/>
          <w:b/>
          <w:bCs/>
          <w:sz w:val="24"/>
          <w:szCs w:val="24"/>
        </w:rPr>
        <w:t>outsourcingu</w:t>
      </w:r>
      <w:r w:rsidR="00610F05">
        <w:rPr>
          <w:rFonts w:asciiTheme="majorHAnsi" w:hAnsiTheme="majorHAnsi" w:cs="Times New Roman"/>
          <w:sz w:val="24"/>
          <w:szCs w:val="24"/>
        </w:rPr>
        <w:t>, tj.</w:t>
      </w:r>
      <w:r w:rsidRPr="00A151EB">
        <w:rPr>
          <w:rFonts w:asciiTheme="majorHAnsi" w:hAnsiTheme="majorHAnsi" w:cs="Times New Roman"/>
          <w:sz w:val="24"/>
          <w:szCs w:val="24"/>
        </w:rPr>
        <w:t xml:space="preserve"> rozhodnutí, zda si potřebný materiál podnik vyrobí sám nebo koupí od dodavatelů. </w:t>
      </w:r>
    </w:p>
    <w:p w14:paraId="5F24CC23" w14:textId="77777777" w:rsidR="009257F4" w:rsidRPr="00A151EB" w:rsidRDefault="009257F4" w:rsidP="009257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5F24CC24" w14:textId="77777777" w:rsidR="009257F4" w:rsidRDefault="009257F4" w:rsidP="009257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A151EB">
        <w:rPr>
          <w:rFonts w:asciiTheme="majorHAnsi" w:hAnsiTheme="majorHAnsi" w:cs="Times New Roman"/>
          <w:sz w:val="24"/>
          <w:szCs w:val="24"/>
        </w:rPr>
        <w:t xml:space="preserve">K důvodům pro </w:t>
      </w:r>
      <w:r w:rsidRPr="00A151EB">
        <w:rPr>
          <w:rFonts w:asciiTheme="majorHAnsi" w:hAnsiTheme="majorHAnsi" w:cs="Times New Roman"/>
          <w:b/>
          <w:bCs/>
          <w:sz w:val="24"/>
          <w:szCs w:val="24"/>
        </w:rPr>
        <w:t xml:space="preserve">outsourcing </w:t>
      </w:r>
      <w:r w:rsidRPr="00A151EB">
        <w:rPr>
          <w:rFonts w:asciiTheme="majorHAnsi" w:hAnsiTheme="majorHAnsi" w:cs="Times New Roman"/>
          <w:sz w:val="24"/>
          <w:szCs w:val="24"/>
        </w:rPr>
        <w:t xml:space="preserve">patří: snížení potřeby pracovních sil a výrobní kapacity, možnost využití výrobních technologií a patentů dodavatele, využití zkušeností, speciálních strojů a vlastního výzkumu a vývoje dodavatele, nižší náklady na dopravu, rychlejší změny výrobního programu. </w:t>
      </w:r>
    </w:p>
    <w:p w14:paraId="5F24CC25" w14:textId="77777777" w:rsidR="006E02AA" w:rsidRDefault="006E02AA" w:rsidP="009257F4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5F24CC26" w14:textId="77777777" w:rsidR="00274BE1" w:rsidRPr="00414B5A" w:rsidRDefault="00274BE1" w:rsidP="00274BE1">
      <w:pPr>
        <w:rPr>
          <w:rFonts w:ascii="Cambria" w:hAnsi="Cambria"/>
          <w:b/>
          <w:sz w:val="24"/>
          <w:szCs w:val="24"/>
        </w:rPr>
      </w:pPr>
      <w:r w:rsidRPr="00414B5A">
        <w:rPr>
          <w:rFonts w:ascii="Cambria" w:hAnsi="Cambria"/>
          <w:b/>
          <w:sz w:val="24"/>
          <w:szCs w:val="24"/>
        </w:rPr>
        <w:t xml:space="preserve">Výběr a hodnocení dodavatelů </w:t>
      </w:r>
    </w:p>
    <w:p w14:paraId="5F24CC27" w14:textId="77777777" w:rsidR="00274BE1" w:rsidRDefault="00274BE1" w:rsidP="00274B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Ú</w:t>
      </w:r>
      <w:r w:rsidRPr="006D6FAE">
        <w:rPr>
          <w:rFonts w:asciiTheme="majorHAnsi" w:hAnsiTheme="majorHAnsi" w:cs="Times New Roman"/>
          <w:sz w:val="24"/>
          <w:szCs w:val="24"/>
        </w:rPr>
        <w:t>kol</w:t>
      </w:r>
      <w:r>
        <w:rPr>
          <w:rFonts w:asciiTheme="majorHAnsi" w:hAnsiTheme="majorHAnsi" w:cs="Times New Roman"/>
          <w:sz w:val="24"/>
          <w:szCs w:val="24"/>
        </w:rPr>
        <w:t>em</w:t>
      </w:r>
      <w:r w:rsidRPr="006D6FAE">
        <w:rPr>
          <w:rFonts w:asciiTheme="majorHAnsi" w:hAnsiTheme="majorHAnsi" w:cs="Times New Roman"/>
          <w:sz w:val="24"/>
          <w:szCs w:val="24"/>
        </w:rPr>
        <w:t xml:space="preserve"> nákupního oddělení </w:t>
      </w:r>
      <w:r>
        <w:rPr>
          <w:rFonts w:asciiTheme="majorHAnsi" w:hAnsiTheme="majorHAnsi" w:cs="Times New Roman"/>
          <w:sz w:val="24"/>
          <w:szCs w:val="24"/>
        </w:rPr>
        <w:t>je analýza a volba dodavatele: č</w:t>
      </w:r>
      <w:r w:rsidRPr="006D6FAE">
        <w:rPr>
          <w:rFonts w:asciiTheme="majorHAnsi" w:hAnsiTheme="majorHAnsi" w:cs="Times New Roman"/>
          <w:sz w:val="24"/>
          <w:szCs w:val="24"/>
        </w:rPr>
        <w:t xml:space="preserve">ím jsou nákupní možnosti větší, tím je potřebné větší množství dodavatelů a vzniká více možností, jak zajistit potřeby podniku. </w:t>
      </w:r>
    </w:p>
    <w:p w14:paraId="5F24CC28" w14:textId="77777777" w:rsidR="00274BE1" w:rsidRPr="006D6FAE" w:rsidRDefault="00274BE1" w:rsidP="00274B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F24CC29" w14:textId="77777777" w:rsidR="00274BE1" w:rsidRPr="006D6FAE" w:rsidRDefault="00274BE1" w:rsidP="00857699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V</w:t>
      </w:r>
      <w:r w:rsidRPr="006D6FAE">
        <w:rPr>
          <w:rFonts w:asciiTheme="majorHAnsi" w:hAnsiTheme="majorHAnsi" w:cs="Times New Roman"/>
          <w:sz w:val="24"/>
          <w:szCs w:val="24"/>
        </w:rPr>
        <w:t xml:space="preserve">ýběru dodavatele </w:t>
      </w:r>
      <w:r>
        <w:rPr>
          <w:rFonts w:asciiTheme="majorHAnsi" w:hAnsiTheme="majorHAnsi" w:cs="Times New Roman"/>
          <w:sz w:val="24"/>
          <w:szCs w:val="24"/>
        </w:rPr>
        <w:t xml:space="preserve">by </w:t>
      </w:r>
      <w:r w:rsidRPr="006D6FAE">
        <w:rPr>
          <w:rFonts w:asciiTheme="majorHAnsi" w:hAnsiTheme="majorHAnsi" w:cs="Times New Roman"/>
          <w:sz w:val="24"/>
          <w:szCs w:val="24"/>
        </w:rPr>
        <w:t xml:space="preserve">měl předcházet výzkum trhu, </w:t>
      </w:r>
      <w:r>
        <w:rPr>
          <w:rFonts w:asciiTheme="majorHAnsi" w:hAnsiTheme="majorHAnsi" w:cs="Times New Roman"/>
          <w:sz w:val="24"/>
          <w:szCs w:val="24"/>
        </w:rPr>
        <w:t>j</w:t>
      </w:r>
      <w:r w:rsidRPr="006D6FAE">
        <w:rPr>
          <w:rFonts w:asciiTheme="majorHAnsi" w:hAnsiTheme="majorHAnsi" w:cs="Times New Roman"/>
          <w:sz w:val="24"/>
          <w:szCs w:val="24"/>
        </w:rPr>
        <w:t>eho</w:t>
      </w:r>
      <w:r>
        <w:rPr>
          <w:rFonts w:asciiTheme="majorHAnsi" w:hAnsiTheme="majorHAnsi" w:cs="Times New Roman"/>
          <w:sz w:val="24"/>
          <w:szCs w:val="24"/>
        </w:rPr>
        <w:t>ž</w:t>
      </w:r>
      <w:r w:rsidRPr="006D6FAE">
        <w:rPr>
          <w:rFonts w:asciiTheme="majorHAnsi" w:hAnsiTheme="majorHAnsi" w:cs="Times New Roman"/>
          <w:sz w:val="24"/>
          <w:szCs w:val="24"/>
        </w:rPr>
        <w:t xml:space="preserve"> výsledkem by měla být množina dodavatelů, kterou je potřeba dále analyzovat podle předem zvolených kritérií. Výzkum nákupního trhu je založen na získávání sekundárních informací o: </w:t>
      </w:r>
    </w:p>
    <w:p w14:paraId="5F24CC2A" w14:textId="77777777" w:rsidR="00274BE1" w:rsidRPr="006D6FAE" w:rsidRDefault="00274BE1" w:rsidP="008576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6D6FAE">
        <w:rPr>
          <w:rFonts w:asciiTheme="majorHAnsi" w:hAnsiTheme="majorHAnsi" w:cs="Times New Roman"/>
          <w:sz w:val="24"/>
          <w:szCs w:val="24"/>
        </w:rPr>
        <w:t xml:space="preserve">počtu dodavatelů, </w:t>
      </w:r>
    </w:p>
    <w:p w14:paraId="5F24CC2B" w14:textId="77777777" w:rsidR="00274BE1" w:rsidRPr="006D6FAE" w:rsidRDefault="00274BE1" w:rsidP="008576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6D6FAE">
        <w:rPr>
          <w:rFonts w:asciiTheme="majorHAnsi" w:hAnsiTheme="majorHAnsi" w:cs="Times New Roman"/>
          <w:sz w:val="24"/>
          <w:szCs w:val="24"/>
        </w:rPr>
        <w:t xml:space="preserve">kapacitě dodávek, </w:t>
      </w:r>
    </w:p>
    <w:p w14:paraId="5F24CC2C" w14:textId="77777777" w:rsidR="00274BE1" w:rsidRPr="006D6FAE" w:rsidRDefault="00274BE1" w:rsidP="008576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6D6FAE">
        <w:rPr>
          <w:rFonts w:asciiTheme="majorHAnsi" w:hAnsiTheme="majorHAnsi" w:cs="Times New Roman"/>
          <w:sz w:val="24"/>
          <w:szCs w:val="24"/>
        </w:rPr>
        <w:t xml:space="preserve">technologických trendech, </w:t>
      </w:r>
    </w:p>
    <w:p w14:paraId="5F24CC2D" w14:textId="77777777" w:rsidR="00274BE1" w:rsidRPr="006D6FAE" w:rsidRDefault="00274BE1" w:rsidP="008576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6D6FAE">
        <w:rPr>
          <w:rFonts w:asciiTheme="majorHAnsi" w:hAnsiTheme="majorHAnsi" w:cs="Times New Roman"/>
          <w:sz w:val="24"/>
          <w:szCs w:val="24"/>
        </w:rPr>
        <w:t xml:space="preserve">dostupnosti surovin pro dodavatele. </w:t>
      </w:r>
    </w:p>
    <w:p w14:paraId="5F24CC2E" w14:textId="77777777" w:rsidR="00274BE1" w:rsidRPr="006D6FAE" w:rsidRDefault="00274BE1" w:rsidP="00274B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F24CC2F" w14:textId="77777777" w:rsidR="00274BE1" w:rsidRPr="006D6FAE" w:rsidRDefault="00274BE1" w:rsidP="00274BE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6D6FAE">
        <w:rPr>
          <w:rFonts w:asciiTheme="majorHAnsi" w:hAnsiTheme="majorHAnsi" w:cs="Times New Roman"/>
          <w:sz w:val="24"/>
          <w:szCs w:val="24"/>
        </w:rPr>
        <w:t>Vlastní výběr dodavatele probíhá na základě analýzy tří o</w:t>
      </w:r>
      <w:r>
        <w:rPr>
          <w:rFonts w:asciiTheme="majorHAnsi" w:hAnsiTheme="majorHAnsi" w:cs="Times New Roman"/>
          <w:sz w:val="24"/>
          <w:szCs w:val="24"/>
        </w:rPr>
        <w:t>blastí - kvalifikování produktů,</w:t>
      </w:r>
      <w:r w:rsidRPr="006D6FAE">
        <w:rPr>
          <w:rFonts w:asciiTheme="majorHAnsi" w:hAnsiTheme="majorHAnsi" w:cs="Times New Roman"/>
          <w:sz w:val="24"/>
          <w:szCs w:val="24"/>
        </w:rPr>
        <w:t xml:space="preserve"> prověření postavení dodavatele na trhu a prověření jeho manaž</w:t>
      </w:r>
      <w:r>
        <w:rPr>
          <w:rFonts w:asciiTheme="majorHAnsi" w:hAnsiTheme="majorHAnsi" w:cs="Times New Roman"/>
          <w:sz w:val="24"/>
          <w:szCs w:val="24"/>
        </w:rPr>
        <w:t xml:space="preserve">erského systému. </w:t>
      </w:r>
    </w:p>
    <w:p w14:paraId="5F24CC30" w14:textId="77777777" w:rsidR="00274BE1" w:rsidRDefault="00274BE1" w:rsidP="00274BE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5F24CC31" w14:textId="77777777" w:rsidR="00274BE1" w:rsidRPr="006D6FAE" w:rsidRDefault="00274BE1" w:rsidP="00274BE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6D6FAE">
        <w:rPr>
          <w:rFonts w:asciiTheme="majorHAnsi" w:hAnsiTheme="majorHAnsi" w:cs="Times New Roman"/>
          <w:b/>
          <w:bCs/>
          <w:sz w:val="24"/>
          <w:szCs w:val="24"/>
        </w:rPr>
        <w:t>Volba dodavatele</w:t>
      </w:r>
    </w:p>
    <w:p w14:paraId="5F24CC32" w14:textId="0D8D4980" w:rsidR="00274BE1" w:rsidRDefault="00274BE1" w:rsidP="00274BE1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  <w:r w:rsidRPr="008D291C">
        <w:rPr>
          <w:rFonts w:asciiTheme="majorHAnsi" w:hAnsiTheme="majorHAnsi"/>
          <w:bCs/>
        </w:rPr>
        <w:t>P</w:t>
      </w:r>
      <w:r>
        <w:rPr>
          <w:rFonts w:asciiTheme="majorHAnsi" w:hAnsiTheme="majorHAnsi"/>
        </w:rPr>
        <w:t xml:space="preserve">rvním krokem </w:t>
      </w:r>
      <w:r w:rsidRPr="006D6FAE">
        <w:rPr>
          <w:rFonts w:asciiTheme="majorHAnsi" w:hAnsiTheme="majorHAnsi"/>
        </w:rPr>
        <w:t>je získání základních podnikových dat, zjišťování informací o dodávaném zboží a úrovni poskytovaného servisu. Další oblastí je cenová struktura a platební podmínky jednotlivých potenciál</w:t>
      </w:r>
      <w:r>
        <w:rPr>
          <w:rFonts w:asciiTheme="majorHAnsi" w:hAnsiTheme="majorHAnsi"/>
        </w:rPr>
        <w:t xml:space="preserve">ních dodavatelů. K důležitým </w:t>
      </w:r>
      <w:r w:rsidRPr="006D6FAE">
        <w:rPr>
          <w:rFonts w:asciiTheme="majorHAnsi" w:hAnsiTheme="majorHAnsi"/>
          <w:color w:val="auto"/>
        </w:rPr>
        <w:t xml:space="preserve">informacím patří i informace o dosavadní spolupráci dodavatele se stávajícími dodavateli. </w:t>
      </w:r>
      <w:r>
        <w:rPr>
          <w:rFonts w:asciiTheme="majorHAnsi" w:hAnsiTheme="majorHAnsi"/>
          <w:color w:val="auto"/>
        </w:rPr>
        <w:t xml:space="preserve">Posuzují se i </w:t>
      </w:r>
      <w:r w:rsidRPr="006D6FAE">
        <w:rPr>
          <w:rFonts w:asciiTheme="majorHAnsi" w:hAnsiTheme="majorHAnsi"/>
          <w:color w:val="auto"/>
        </w:rPr>
        <w:t xml:space="preserve">rizika spojená s nabídkou jednotlivých dodavatelů. </w:t>
      </w:r>
    </w:p>
    <w:p w14:paraId="5F24CC33" w14:textId="77777777" w:rsidR="00274BE1" w:rsidRPr="006D6FAE" w:rsidRDefault="00274BE1" w:rsidP="00274BE1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</w:p>
    <w:p w14:paraId="5F24CC34" w14:textId="48714935" w:rsidR="00274BE1" w:rsidRPr="006D6FAE" w:rsidRDefault="00274BE1" w:rsidP="00274BE1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>Postup při výběru vhodného dodavatele</w:t>
      </w:r>
      <w:r w:rsidR="006F6F1C">
        <w:rPr>
          <w:rFonts w:asciiTheme="majorHAnsi" w:hAnsiTheme="majorHAnsi"/>
          <w:color w:val="auto"/>
        </w:rPr>
        <w:t xml:space="preserve"> </w:t>
      </w:r>
      <w:r w:rsidRPr="006D6FAE">
        <w:rPr>
          <w:rFonts w:asciiTheme="majorHAnsi" w:hAnsiTheme="majorHAnsi"/>
          <w:color w:val="auto"/>
        </w:rPr>
        <w:t xml:space="preserve">a řízení dodavatelských vztahů je možné rozdělit do pěti fází: </w:t>
      </w:r>
    </w:p>
    <w:p w14:paraId="5F24CC35" w14:textId="77777777" w:rsidR="00274BE1" w:rsidRPr="006D6FAE" w:rsidRDefault="00274BE1" w:rsidP="00AC0581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Přípravná fáze – před nákupem potřebné položky (vznik potřeby, určení týmu odborníků pro výběr), </w:t>
      </w:r>
    </w:p>
    <w:p w14:paraId="5F24CC36" w14:textId="77777777" w:rsidR="00274BE1" w:rsidRPr="006D6FAE" w:rsidRDefault="00274BE1" w:rsidP="00AC0581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Stanovení kritérií výběru dodavatelů, </w:t>
      </w:r>
    </w:p>
    <w:p w14:paraId="5F24CC37" w14:textId="77777777" w:rsidR="00274BE1" w:rsidRPr="006D6FAE" w:rsidRDefault="00274BE1" w:rsidP="00AC0581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Analýza a výběr dodavatelů – hodnocení dodavatelů dle kritérií a volba nejvhodnějšího dodavatele, </w:t>
      </w:r>
    </w:p>
    <w:p w14:paraId="5F24CC38" w14:textId="77777777" w:rsidR="00274BE1" w:rsidRPr="006D6FAE" w:rsidRDefault="00274BE1" w:rsidP="00AC0581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Uzavření smlouvy, </w:t>
      </w:r>
    </w:p>
    <w:p w14:paraId="5F24CC39" w14:textId="77777777" w:rsidR="00274BE1" w:rsidRPr="006D6FAE" w:rsidRDefault="00274BE1" w:rsidP="00AC0581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Hodnocení vztahů se stávajícími dodavateli – pro efektivní nákupní činnost je nutné provádět pravidelné hodnocení výkonnosti stávajících dodavatelů, tedy schopnost plnit podmínky uzavřené smlouvy. </w:t>
      </w:r>
    </w:p>
    <w:p w14:paraId="5F24CC3A" w14:textId="77777777" w:rsidR="00274BE1" w:rsidRPr="006D6FAE" w:rsidRDefault="00274BE1" w:rsidP="00274BE1">
      <w:pPr>
        <w:pStyle w:val="Default"/>
        <w:rPr>
          <w:rFonts w:asciiTheme="majorHAnsi" w:hAnsiTheme="majorHAnsi"/>
          <w:color w:val="auto"/>
        </w:rPr>
      </w:pPr>
    </w:p>
    <w:p w14:paraId="5F24CC3B" w14:textId="77777777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b/>
          <w:bCs/>
          <w:color w:val="auto"/>
        </w:rPr>
        <w:t xml:space="preserve">Kritéria volby dodavatele </w:t>
      </w:r>
    </w:p>
    <w:p w14:paraId="5F24CC3C" w14:textId="77777777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 </w:t>
      </w:r>
    </w:p>
    <w:p w14:paraId="5F24CC3D" w14:textId="77777777" w:rsidR="00274BE1" w:rsidRPr="006D6FAE" w:rsidRDefault="00274BE1" w:rsidP="00A60BF4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E71E66">
        <w:rPr>
          <w:rFonts w:asciiTheme="majorHAnsi" w:hAnsiTheme="majorHAnsi"/>
          <w:b/>
          <w:color w:val="auto"/>
        </w:rPr>
        <w:lastRenderedPageBreak/>
        <w:t>Výrobní možnosti dodavatele</w:t>
      </w:r>
      <w:r w:rsidRPr="006D6FAE">
        <w:rPr>
          <w:rFonts w:asciiTheme="majorHAnsi" w:hAnsiTheme="majorHAnsi"/>
          <w:color w:val="auto"/>
        </w:rPr>
        <w:t xml:space="preserve"> – využívání výrobní kapacity, vybavenost výrobním zařízením, nabídka vyráběných produktů, použitý materiál, kvalita výrobků; </w:t>
      </w:r>
    </w:p>
    <w:p w14:paraId="5F24CC3E" w14:textId="77777777" w:rsidR="00274BE1" w:rsidRPr="006D6FAE" w:rsidRDefault="00274BE1" w:rsidP="00A60BF4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E71E66">
        <w:rPr>
          <w:rFonts w:asciiTheme="majorHAnsi" w:hAnsiTheme="majorHAnsi"/>
          <w:b/>
          <w:color w:val="auto"/>
        </w:rPr>
        <w:t>Logistické služby poskytované dodavatelem</w:t>
      </w:r>
      <w:r w:rsidRPr="006D6FAE">
        <w:rPr>
          <w:rFonts w:asciiTheme="majorHAnsi" w:hAnsiTheme="majorHAnsi"/>
          <w:color w:val="auto"/>
        </w:rPr>
        <w:t xml:space="preserve"> – schopnost dodavatele zajistit dodávku lokalizace dodavatele, termín dodání objednávek, schopnost reagovat na změny</w:t>
      </w:r>
      <w:r w:rsidR="00852736">
        <w:rPr>
          <w:rFonts w:asciiTheme="majorHAnsi" w:hAnsiTheme="majorHAnsi"/>
          <w:color w:val="auto"/>
        </w:rPr>
        <w:t>, balení a doprava dodávek apod.</w:t>
      </w:r>
      <w:r w:rsidRPr="006D6FAE">
        <w:rPr>
          <w:rFonts w:asciiTheme="majorHAnsi" w:hAnsiTheme="majorHAnsi"/>
          <w:color w:val="auto"/>
        </w:rPr>
        <w:t xml:space="preserve">; </w:t>
      </w:r>
    </w:p>
    <w:p w14:paraId="5F24CC3F" w14:textId="77777777" w:rsidR="00274BE1" w:rsidRPr="006D6FAE" w:rsidRDefault="00274BE1" w:rsidP="00A60BF4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E71E66">
        <w:rPr>
          <w:rFonts w:asciiTheme="majorHAnsi" w:hAnsiTheme="majorHAnsi"/>
          <w:b/>
          <w:color w:val="auto"/>
        </w:rPr>
        <w:t>Kvalita dodávek</w:t>
      </w:r>
      <w:r w:rsidRPr="006D6FAE">
        <w:rPr>
          <w:rFonts w:asciiTheme="majorHAnsi" w:hAnsiTheme="majorHAnsi"/>
          <w:color w:val="auto"/>
        </w:rPr>
        <w:t xml:space="preserve"> – nezbytná podmínka u každého dodavatele; </w:t>
      </w:r>
    </w:p>
    <w:p w14:paraId="5F24CC40" w14:textId="77777777" w:rsidR="00274BE1" w:rsidRPr="006D6FAE" w:rsidRDefault="00274BE1" w:rsidP="00A60BF4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E71E66">
        <w:rPr>
          <w:rFonts w:asciiTheme="majorHAnsi" w:hAnsiTheme="majorHAnsi"/>
          <w:b/>
          <w:color w:val="auto"/>
        </w:rPr>
        <w:t>Spolehlivost dodávek</w:t>
      </w:r>
      <w:r w:rsidRPr="006D6FAE">
        <w:rPr>
          <w:rFonts w:asciiTheme="majorHAnsi" w:hAnsiTheme="majorHAnsi"/>
          <w:color w:val="auto"/>
        </w:rPr>
        <w:t xml:space="preserve"> – dodržení termínů dodávek; </w:t>
      </w:r>
    </w:p>
    <w:p w14:paraId="5F24CC41" w14:textId="77777777" w:rsidR="00274BE1" w:rsidRPr="006D6FAE" w:rsidRDefault="00274BE1" w:rsidP="00A60BF4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E71E66">
        <w:rPr>
          <w:rFonts w:asciiTheme="majorHAnsi" w:hAnsiTheme="majorHAnsi"/>
          <w:b/>
          <w:color w:val="auto"/>
        </w:rPr>
        <w:t>Finanční situace dodavatele</w:t>
      </w:r>
      <w:r w:rsidRPr="006D6FAE">
        <w:rPr>
          <w:rFonts w:asciiTheme="majorHAnsi" w:hAnsiTheme="majorHAnsi"/>
          <w:color w:val="auto"/>
        </w:rPr>
        <w:t xml:space="preserve"> – výpočet ukazatelů finanční analýzy na základě hospodářských výsledků dodavatele; </w:t>
      </w:r>
    </w:p>
    <w:p w14:paraId="5F24CC42" w14:textId="77777777" w:rsidR="00274BE1" w:rsidRPr="006D6FAE" w:rsidRDefault="00274BE1" w:rsidP="00A60BF4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E71E66">
        <w:rPr>
          <w:rFonts w:asciiTheme="majorHAnsi" w:hAnsiTheme="majorHAnsi"/>
          <w:b/>
          <w:color w:val="auto"/>
        </w:rPr>
        <w:t>Informace o dodavateli, konkurence</w:t>
      </w:r>
      <w:r w:rsidRPr="006D6FAE">
        <w:rPr>
          <w:rFonts w:asciiTheme="majorHAnsi" w:hAnsiTheme="majorHAnsi"/>
          <w:color w:val="auto"/>
        </w:rPr>
        <w:t xml:space="preserve"> – známost dodavatele na trhu, existující konkurence; </w:t>
      </w:r>
    </w:p>
    <w:p w14:paraId="5F24CC43" w14:textId="77777777" w:rsidR="00274BE1" w:rsidRDefault="00274BE1" w:rsidP="00A60BF4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  <w:color w:val="auto"/>
        </w:rPr>
      </w:pPr>
      <w:r w:rsidRPr="00CB09B2">
        <w:rPr>
          <w:rFonts w:asciiTheme="majorHAnsi" w:hAnsiTheme="majorHAnsi"/>
          <w:b/>
          <w:bCs/>
          <w:color w:val="auto"/>
        </w:rPr>
        <w:t>S</w:t>
      </w:r>
      <w:r w:rsidRPr="00E71E66">
        <w:rPr>
          <w:rFonts w:asciiTheme="majorHAnsi" w:hAnsiTheme="majorHAnsi"/>
          <w:b/>
          <w:color w:val="auto"/>
        </w:rPr>
        <w:t>távající dodavatelsko-odběratelské vztahy</w:t>
      </w:r>
      <w:r w:rsidRPr="006D6FAE">
        <w:rPr>
          <w:rFonts w:asciiTheme="majorHAnsi" w:hAnsiTheme="majorHAnsi"/>
          <w:color w:val="auto"/>
        </w:rPr>
        <w:t xml:space="preserve"> – dosavadní zkušení ze spolupráce s dodavatelem, vlastní nebo zprostředkované, úroveň komunikace a spolupráce. </w:t>
      </w:r>
    </w:p>
    <w:p w14:paraId="5F24CC44" w14:textId="77777777" w:rsidR="00274BE1" w:rsidRDefault="00274BE1" w:rsidP="00274BE1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</w:p>
    <w:p w14:paraId="5F24CC45" w14:textId="77777777" w:rsidR="00274BE1" w:rsidRPr="006D6FAE" w:rsidRDefault="00274BE1" w:rsidP="00274BE1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>Výsledkem tohoto kroku je vytvoření seznamu potencionálních dodavatelů</w:t>
      </w:r>
      <w:r>
        <w:rPr>
          <w:rFonts w:asciiTheme="majorHAnsi" w:hAnsiTheme="majorHAnsi"/>
          <w:color w:val="auto"/>
        </w:rPr>
        <w:t>.</w:t>
      </w:r>
      <w:r w:rsidRPr="006D6FAE">
        <w:rPr>
          <w:rFonts w:asciiTheme="majorHAnsi" w:hAnsiTheme="majorHAnsi"/>
          <w:color w:val="auto"/>
        </w:rPr>
        <w:t xml:space="preserve">  Hodnocení je prováděno v hodnotící tabulce. Nejčastěji porovnávané znaky: </w:t>
      </w:r>
    </w:p>
    <w:p w14:paraId="5F24CC46" w14:textId="77777777" w:rsidR="00274BE1" w:rsidRPr="006D6FAE" w:rsidRDefault="00D1647E" w:rsidP="00AC0581">
      <w:pPr>
        <w:pStyle w:val="Default"/>
        <w:numPr>
          <w:ilvl w:val="0"/>
          <w:numId w:val="7"/>
        </w:numPr>
        <w:spacing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c</w:t>
      </w:r>
      <w:r w:rsidR="00274BE1" w:rsidRPr="006D6FAE">
        <w:rPr>
          <w:rFonts w:asciiTheme="majorHAnsi" w:hAnsiTheme="majorHAnsi"/>
          <w:color w:val="auto"/>
        </w:rPr>
        <w:t xml:space="preserve">ena, </w:t>
      </w:r>
    </w:p>
    <w:p w14:paraId="5F24CC47" w14:textId="77777777" w:rsidR="00274BE1" w:rsidRPr="006D6FAE" w:rsidRDefault="00D1647E" w:rsidP="00AC0581">
      <w:pPr>
        <w:pStyle w:val="Default"/>
        <w:numPr>
          <w:ilvl w:val="0"/>
          <w:numId w:val="7"/>
        </w:numPr>
        <w:spacing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r</w:t>
      </w:r>
      <w:r w:rsidR="00274BE1" w:rsidRPr="006D6FAE">
        <w:rPr>
          <w:rFonts w:asciiTheme="majorHAnsi" w:hAnsiTheme="majorHAnsi"/>
          <w:color w:val="auto"/>
        </w:rPr>
        <w:t xml:space="preserve">ychlost přepravy, </w:t>
      </w:r>
    </w:p>
    <w:p w14:paraId="5F24CC48" w14:textId="77777777" w:rsidR="00274BE1" w:rsidRPr="006D6FAE" w:rsidRDefault="00D1647E" w:rsidP="00AC0581">
      <w:pPr>
        <w:pStyle w:val="Default"/>
        <w:numPr>
          <w:ilvl w:val="0"/>
          <w:numId w:val="7"/>
        </w:numPr>
        <w:spacing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k</w:t>
      </w:r>
      <w:r w:rsidR="00274BE1" w:rsidRPr="006D6FAE">
        <w:rPr>
          <w:rFonts w:asciiTheme="majorHAnsi" w:hAnsiTheme="majorHAnsi"/>
          <w:color w:val="auto"/>
        </w:rPr>
        <w:t xml:space="preserve">valita dodávky, </w:t>
      </w:r>
    </w:p>
    <w:p w14:paraId="5F24CC49" w14:textId="77777777" w:rsidR="00274BE1" w:rsidRPr="006D6FAE" w:rsidRDefault="00D1647E" w:rsidP="00AC0581">
      <w:pPr>
        <w:pStyle w:val="Default"/>
        <w:numPr>
          <w:ilvl w:val="0"/>
          <w:numId w:val="7"/>
        </w:numPr>
        <w:spacing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s</w:t>
      </w:r>
      <w:r w:rsidR="00274BE1" w:rsidRPr="006D6FAE">
        <w:rPr>
          <w:rFonts w:asciiTheme="majorHAnsi" w:hAnsiTheme="majorHAnsi"/>
          <w:color w:val="auto"/>
        </w:rPr>
        <w:t xml:space="preserve">polehlivost dodávky, </w:t>
      </w:r>
    </w:p>
    <w:p w14:paraId="5F24CC4A" w14:textId="77777777" w:rsidR="00274BE1" w:rsidRPr="006D6FAE" w:rsidRDefault="00D1647E" w:rsidP="00AC0581">
      <w:pPr>
        <w:pStyle w:val="Default"/>
        <w:numPr>
          <w:ilvl w:val="0"/>
          <w:numId w:val="7"/>
        </w:numPr>
        <w:spacing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s</w:t>
      </w:r>
      <w:r w:rsidR="00274BE1" w:rsidRPr="006D6FAE">
        <w:rPr>
          <w:rFonts w:asciiTheme="majorHAnsi" w:hAnsiTheme="majorHAnsi"/>
          <w:color w:val="auto"/>
        </w:rPr>
        <w:t xml:space="preserve">polupráce, </w:t>
      </w:r>
    </w:p>
    <w:p w14:paraId="5F24CC4B" w14:textId="77777777" w:rsidR="00274BE1" w:rsidRPr="006D6FAE" w:rsidRDefault="00D1647E" w:rsidP="00AC0581">
      <w:pPr>
        <w:pStyle w:val="Default"/>
        <w:numPr>
          <w:ilvl w:val="0"/>
          <w:numId w:val="7"/>
        </w:numPr>
        <w:spacing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p</w:t>
      </w:r>
      <w:r w:rsidR="00274BE1" w:rsidRPr="006D6FAE">
        <w:rPr>
          <w:rFonts w:asciiTheme="majorHAnsi" w:hAnsiTheme="majorHAnsi"/>
          <w:color w:val="auto"/>
        </w:rPr>
        <w:t xml:space="preserve">ružnost dodavatele při odstraňování problémů a vad. </w:t>
      </w:r>
    </w:p>
    <w:p w14:paraId="5F24CC4C" w14:textId="77777777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</w:p>
    <w:p w14:paraId="5F24CC4D" w14:textId="77777777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b/>
          <w:bCs/>
          <w:color w:val="auto"/>
        </w:rPr>
        <w:t xml:space="preserve">Metody výběru dodavatelů </w:t>
      </w:r>
    </w:p>
    <w:p w14:paraId="5F24CC4E" w14:textId="77777777" w:rsidR="00274BE1" w:rsidRPr="006D6FAE" w:rsidRDefault="00274BE1" w:rsidP="00B61140">
      <w:pPr>
        <w:pStyle w:val="Default"/>
        <w:spacing w:line="276" w:lineRule="auto"/>
        <w:jc w:val="both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Pro hodnocení jednotlivých dodavatelů se využívá množství metod a hodnotících modelů. </w:t>
      </w:r>
    </w:p>
    <w:p w14:paraId="5F24CC4F" w14:textId="77777777" w:rsidR="00274BE1" w:rsidRDefault="00274BE1" w:rsidP="00274BE1">
      <w:pPr>
        <w:pStyle w:val="Default"/>
        <w:spacing w:line="276" w:lineRule="auto"/>
        <w:rPr>
          <w:rFonts w:asciiTheme="majorHAnsi" w:hAnsiTheme="majorHAnsi"/>
          <w:b/>
          <w:bCs/>
          <w:color w:val="auto"/>
        </w:rPr>
      </w:pPr>
    </w:p>
    <w:p w14:paraId="5F24CC50" w14:textId="77777777" w:rsidR="00274BE1" w:rsidRPr="00852736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852736">
        <w:rPr>
          <w:rFonts w:asciiTheme="majorHAnsi" w:hAnsiTheme="majorHAnsi"/>
          <w:bCs/>
          <w:color w:val="auto"/>
        </w:rPr>
        <w:t xml:space="preserve">Nejčastěji používané metody: </w:t>
      </w:r>
    </w:p>
    <w:p w14:paraId="5F24CC51" w14:textId="77777777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1) Metoda srovnání výhod a nevýhod, </w:t>
      </w:r>
    </w:p>
    <w:p w14:paraId="5F24CC52" w14:textId="77777777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2) Metoda bodová, </w:t>
      </w:r>
    </w:p>
    <w:p w14:paraId="5F24CC53" w14:textId="77777777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3) Metoda určení prostého pořadí, </w:t>
      </w:r>
    </w:p>
    <w:p w14:paraId="5F24CC54" w14:textId="77777777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4) Metoda určení váhového pořadí, </w:t>
      </w:r>
    </w:p>
    <w:p w14:paraId="5F24CC55" w14:textId="77777777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5) </w:t>
      </w:r>
      <w:proofErr w:type="spellStart"/>
      <w:r w:rsidRPr="006D6FAE">
        <w:rPr>
          <w:rFonts w:asciiTheme="majorHAnsi" w:hAnsiTheme="majorHAnsi"/>
          <w:color w:val="auto"/>
        </w:rPr>
        <w:t>Scoring</w:t>
      </w:r>
      <w:proofErr w:type="spellEnd"/>
      <w:r w:rsidRPr="006D6FAE">
        <w:rPr>
          <w:rFonts w:asciiTheme="majorHAnsi" w:hAnsiTheme="majorHAnsi"/>
          <w:color w:val="auto"/>
        </w:rPr>
        <w:t xml:space="preserve"> model, </w:t>
      </w:r>
    </w:p>
    <w:p w14:paraId="5F24CC56" w14:textId="77777777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 xml:space="preserve">6) Metoda cenového porovnání nabídek, </w:t>
      </w:r>
    </w:p>
    <w:p w14:paraId="6AC1F870" w14:textId="77777777" w:rsidR="00D3409F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6D6FAE">
        <w:rPr>
          <w:rFonts w:asciiTheme="majorHAnsi" w:hAnsiTheme="majorHAnsi"/>
          <w:color w:val="auto"/>
        </w:rPr>
        <w:t>7) Expert</w:t>
      </w:r>
      <w:r>
        <w:rPr>
          <w:rFonts w:asciiTheme="majorHAnsi" w:hAnsiTheme="majorHAnsi"/>
          <w:color w:val="auto"/>
        </w:rPr>
        <w:t>ní hodnocení.</w:t>
      </w:r>
    </w:p>
    <w:p w14:paraId="319BC655" w14:textId="77777777" w:rsidR="00D3409F" w:rsidRPr="00434BD1" w:rsidRDefault="00D3409F" w:rsidP="00D3409F">
      <w:pPr>
        <w:pStyle w:val="Odstavecseseznamem"/>
        <w:spacing w:after="0"/>
        <w:ind w:left="1077"/>
        <w:rPr>
          <w:b/>
          <w:bCs/>
          <w:i/>
          <w:iCs/>
        </w:rPr>
      </w:pPr>
    </w:p>
    <w:p w14:paraId="5F24CC57" w14:textId="25C0A68B" w:rsidR="00274BE1" w:rsidRPr="006D6FAE" w:rsidRDefault="00274BE1" w:rsidP="00274BE1">
      <w:pPr>
        <w:pStyle w:val="Default"/>
        <w:spacing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 </w:t>
      </w:r>
    </w:p>
    <w:sectPr w:rsidR="00274BE1" w:rsidRPr="006D6F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F5B6" w14:textId="77777777" w:rsidR="004E6407" w:rsidRDefault="004E6407" w:rsidP="000411B3">
      <w:pPr>
        <w:spacing w:after="0" w:line="240" w:lineRule="auto"/>
      </w:pPr>
      <w:r>
        <w:separator/>
      </w:r>
    </w:p>
  </w:endnote>
  <w:endnote w:type="continuationSeparator" w:id="0">
    <w:p w14:paraId="40FFC75E" w14:textId="77777777" w:rsidR="004E6407" w:rsidRDefault="004E6407" w:rsidP="000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CC5C" w14:textId="77777777" w:rsidR="003604C0" w:rsidRDefault="003604C0">
    <w:pPr>
      <w:pStyle w:val="Zpat"/>
    </w:pPr>
  </w:p>
  <w:p w14:paraId="5F24CC5D" w14:textId="77777777" w:rsidR="003604C0" w:rsidRDefault="003604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421C" w14:textId="77777777" w:rsidR="004E6407" w:rsidRDefault="004E6407" w:rsidP="000411B3">
      <w:pPr>
        <w:spacing w:after="0" w:line="240" w:lineRule="auto"/>
      </w:pPr>
      <w:r>
        <w:separator/>
      </w:r>
    </w:p>
  </w:footnote>
  <w:footnote w:type="continuationSeparator" w:id="0">
    <w:p w14:paraId="7DF1990A" w14:textId="77777777" w:rsidR="004E6407" w:rsidRDefault="004E6407" w:rsidP="00041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09D"/>
    <w:multiLevelType w:val="hybridMultilevel"/>
    <w:tmpl w:val="500E9476"/>
    <w:lvl w:ilvl="0" w:tplc="3EDCE58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2A39"/>
    <w:multiLevelType w:val="hybridMultilevel"/>
    <w:tmpl w:val="08863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4859"/>
    <w:multiLevelType w:val="hybridMultilevel"/>
    <w:tmpl w:val="86DE66BE"/>
    <w:lvl w:ilvl="0" w:tplc="3EDCE58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393B"/>
    <w:multiLevelType w:val="hybridMultilevel"/>
    <w:tmpl w:val="1E88A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6602"/>
    <w:multiLevelType w:val="hybridMultilevel"/>
    <w:tmpl w:val="5930227E"/>
    <w:lvl w:ilvl="0" w:tplc="A8CC1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A51B6"/>
    <w:multiLevelType w:val="hybridMultilevel"/>
    <w:tmpl w:val="0DE46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0C2"/>
    <w:multiLevelType w:val="hybridMultilevel"/>
    <w:tmpl w:val="3E84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76E2"/>
    <w:multiLevelType w:val="hybridMultilevel"/>
    <w:tmpl w:val="07E09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A16EC"/>
    <w:multiLevelType w:val="hybridMultilevel"/>
    <w:tmpl w:val="3FE46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11AC"/>
    <w:multiLevelType w:val="hybridMultilevel"/>
    <w:tmpl w:val="6F628720"/>
    <w:lvl w:ilvl="0" w:tplc="3EDCE58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A2F66"/>
    <w:multiLevelType w:val="hybridMultilevel"/>
    <w:tmpl w:val="55761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2292A"/>
    <w:multiLevelType w:val="hybridMultilevel"/>
    <w:tmpl w:val="D6A88D24"/>
    <w:lvl w:ilvl="0" w:tplc="3EDCE58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D562E"/>
    <w:multiLevelType w:val="hybridMultilevel"/>
    <w:tmpl w:val="B42A1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E3815"/>
    <w:multiLevelType w:val="hybridMultilevel"/>
    <w:tmpl w:val="5D528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87CAB"/>
    <w:multiLevelType w:val="hybridMultilevel"/>
    <w:tmpl w:val="4CCC8BD4"/>
    <w:lvl w:ilvl="0" w:tplc="02EA14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735CF"/>
    <w:multiLevelType w:val="hybridMultilevel"/>
    <w:tmpl w:val="29DC4244"/>
    <w:lvl w:ilvl="0" w:tplc="3EDCE58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B6B0F"/>
    <w:multiLevelType w:val="hybridMultilevel"/>
    <w:tmpl w:val="FCA25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E1567"/>
    <w:multiLevelType w:val="hybridMultilevel"/>
    <w:tmpl w:val="4978E7BA"/>
    <w:lvl w:ilvl="0" w:tplc="85E64CD8">
      <w:start w:val="1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90ACF"/>
    <w:multiLevelType w:val="hybridMultilevel"/>
    <w:tmpl w:val="4A064C16"/>
    <w:lvl w:ilvl="0" w:tplc="5A5E49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558EF"/>
    <w:multiLevelType w:val="hybridMultilevel"/>
    <w:tmpl w:val="2578C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542016">
    <w:abstractNumId w:val="1"/>
  </w:num>
  <w:num w:numId="2" w16cid:durableId="1943603957">
    <w:abstractNumId w:val="14"/>
  </w:num>
  <w:num w:numId="3" w16cid:durableId="314573692">
    <w:abstractNumId w:val="15"/>
  </w:num>
  <w:num w:numId="4" w16cid:durableId="951858616">
    <w:abstractNumId w:val="12"/>
  </w:num>
  <w:num w:numId="5" w16cid:durableId="510724394">
    <w:abstractNumId w:val="2"/>
  </w:num>
  <w:num w:numId="6" w16cid:durableId="957877657">
    <w:abstractNumId w:val="19"/>
  </w:num>
  <w:num w:numId="7" w16cid:durableId="1578636466">
    <w:abstractNumId w:val="4"/>
  </w:num>
  <w:num w:numId="8" w16cid:durableId="1639411189">
    <w:abstractNumId w:val="13"/>
  </w:num>
  <w:num w:numId="9" w16cid:durableId="410002766">
    <w:abstractNumId w:val="11"/>
  </w:num>
  <w:num w:numId="10" w16cid:durableId="1760521881">
    <w:abstractNumId w:val="9"/>
  </w:num>
  <w:num w:numId="11" w16cid:durableId="1555922811">
    <w:abstractNumId w:val="17"/>
  </w:num>
  <w:num w:numId="12" w16cid:durableId="883177019">
    <w:abstractNumId w:val="0"/>
  </w:num>
  <w:num w:numId="13" w16cid:durableId="1347370845">
    <w:abstractNumId w:val="6"/>
  </w:num>
  <w:num w:numId="14" w16cid:durableId="1269046835">
    <w:abstractNumId w:val="7"/>
  </w:num>
  <w:num w:numId="15" w16cid:durableId="247085621">
    <w:abstractNumId w:val="18"/>
  </w:num>
  <w:num w:numId="16" w16cid:durableId="548031535">
    <w:abstractNumId w:val="8"/>
  </w:num>
  <w:num w:numId="17" w16cid:durableId="1112745276">
    <w:abstractNumId w:val="3"/>
  </w:num>
  <w:num w:numId="18" w16cid:durableId="589391440">
    <w:abstractNumId w:val="16"/>
  </w:num>
  <w:num w:numId="19" w16cid:durableId="1902906392">
    <w:abstractNumId w:val="10"/>
  </w:num>
  <w:num w:numId="20" w16cid:durableId="201353152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12"/>
    <w:rsid w:val="00030F3D"/>
    <w:rsid w:val="000402A8"/>
    <w:rsid w:val="000411B3"/>
    <w:rsid w:val="00063E64"/>
    <w:rsid w:val="00065885"/>
    <w:rsid w:val="0008364A"/>
    <w:rsid w:val="00085026"/>
    <w:rsid w:val="00090D64"/>
    <w:rsid w:val="00092851"/>
    <w:rsid w:val="000A248A"/>
    <w:rsid w:val="000C1A2A"/>
    <w:rsid w:val="000C606C"/>
    <w:rsid w:val="000D0014"/>
    <w:rsid w:val="000F64CC"/>
    <w:rsid w:val="001217A1"/>
    <w:rsid w:val="0013763E"/>
    <w:rsid w:val="001379C4"/>
    <w:rsid w:val="001924F9"/>
    <w:rsid w:val="00192A74"/>
    <w:rsid w:val="001B7F1B"/>
    <w:rsid w:val="001C4C1A"/>
    <w:rsid w:val="001F4032"/>
    <w:rsid w:val="002309BB"/>
    <w:rsid w:val="00231A90"/>
    <w:rsid w:val="00255392"/>
    <w:rsid w:val="00274BE1"/>
    <w:rsid w:val="00281932"/>
    <w:rsid w:val="00291F09"/>
    <w:rsid w:val="002B3E57"/>
    <w:rsid w:val="002C1EB7"/>
    <w:rsid w:val="002F69EC"/>
    <w:rsid w:val="002F7D4B"/>
    <w:rsid w:val="0030156D"/>
    <w:rsid w:val="00314103"/>
    <w:rsid w:val="00353C40"/>
    <w:rsid w:val="003604C0"/>
    <w:rsid w:val="00364D8C"/>
    <w:rsid w:val="00367900"/>
    <w:rsid w:val="00390DB7"/>
    <w:rsid w:val="00391F7A"/>
    <w:rsid w:val="003A256A"/>
    <w:rsid w:val="003C0E12"/>
    <w:rsid w:val="003C1054"/>
    <w:rsid w:val="003E4E81"/>
    <w:rsid w:val="003F44D2"/>
    <w:rsid w:val="00400878"/>
    <w:rsid w:val="00400D69"/>
    <w:rsid w:val="00414B5A"/>
    <w:rsid w:val="00436EBF"/>
    <w:rsid w:val="004475DB"/>
    <w:rsid w:val="00455B5A"/>
    <w:rsid w:val="00464F22"/>
    <w:rsid w:val="0047655A"/>
    <w:rsid w:val="004E6407"/>
    <w:rsid w:val="004F3BCC"/>
    <w:rsid w:val="00503D99"/>
    <w:rsid w:val="00510F1E"/>
    <w:rsid w:val="00542411"/>
    <w:rsid w:val="005471D9"/>
    <w:rsid w:val="00587070"/>
    <w:rsid w:val="005D7960"/>
    <w:rsid w:val="005E7217"/>
    <w:rsid w:val="00610F05"/>
    <w:rsid w:val="00634777"/>
    <w:rsid w:val="006553F8"/>
    <w:rsid w:val="00657D43"/>
    <w:rsid w:val="006733BA"/>
    <w:rsid w:val="00682768"/>
    <w:rsid w:val="006A43DD"/>
    <w:rsid w:val="006C5CDE"/>
    <w:rsid w:val="006C7A5A"/>
    <w:rsid w:val="006D05BA"/>
    <w:rsid w:val="006D2625"/>
    <w:rsid w:val="006E02AA"/>
    <w:rsid w:val="006F6F1C"/>
    <w:rsid w:val="00705687"/>
    <w:rsid w:val="00722E87"/>
    <w:rsid w:val="00741B46"/>
    <w:rsid w:val="007B27FC"/>
    <w:rsid w:val="007D3061"/>
    <w:rsid w:val="007F702D"/>
    <w:rsid w:val="00832C58"/>
    <w:rsid w:val="00833E7E"/>
    <w:rsid w:val="00850117"/>
    <w:rsid w:val="008502C0"/>
    <w:rsid w:val="00852736"/>
    <w:rsid w:val="00857699"/>
    <w:rsid w:val="00864C50"/>
    <w:rsid w:val="008A0411"/>
    <w:rsid w:val="008A35A2"/>
    <w:rsid w:val="008B2CBA"/>
    <w:rsid w:val="008E3DD7"/>
    <w:rsid w:val="00920CB7"/>
    <w:rsid w:val="009257F4"/>
    <w:rsid w:val="009317E3"/>
    <w:rsid w:val="00936974"/>
    <w:rsid w:val="00937B43"/>
    <w:rsid w:val="0095749D"/>
    <w:rsid w:val="009641A8"/>
    <w:rsid w:val="00977717"/>
    <w:rsid w:val="009B2374"/>
    <w:rsid w:val="009B5F51"/>
    <w:rsid w:val="009B76ED"/>
    <w:rsid w:val="009C4D83"/>
    <w:rsid w:val="009C597D"/>
    <w:rsid w:val="00A00340"/>
    <w:rsid w:val="00A60BF4"/>
    <w:rsid w:val="00AB02DA"/>
    <w:rsid w:val="00AC0581"/>
    <w:rsid w:val="00AC7666"/>
    <w:rsid w:val="00AD706D"/>
    <w:rsid w:val="00AF6234"/>
    <w:rsid w:val="00B16B10"/>
    <w:rsid w:val="00B35887"/>
    <w:rsid w:val="00B51F9F"/>
    <w:rsid w:val="00B53C4F"/>
    <w:rsid w:val="00B61140"/>
    <w:rsid w:val="00BB62AB"/>
    <w:rsid w:val="00BC039B"/>
    <w:rsid w:val="00BF2213"/>
    <w:rsid w:val="00BF38EC"/>
    <w:rsid w:val="00BF6174"/>
    <w:rsid w:val="00BF6E60"/>
    <w:rsid w:val="00C067BA"/>
    <w:rsid w:val="00C266F1"/>
    <w:rsid w:val="00C3407D"/>
    <w:rsid w:val="00C63A1C"/>
    <w:rsid w:val="00C80661"/>
    <w:rsid w:val="00C83DE1"/>
    <w:rsid w:val="00C86721"/>
    <w:rsid w:val="00C9250F"/>
    <w:rsid w:val="00CA6BBC"/>
    <w:rsid w:val="00CB09B2"/>
    <w:rsid w:val="00D04D48"/>
    <w:rsid w:val="00D0571A"/>
    <w:rsid w:val="00D108E7"/>
    <w:rsid w:val="00D1647E"/>
    <w:rsid w:val="00D2528C"/>
    <w:rsid w:val="00D3409F"/>
    <w:rsid w:val="00D444A3"/>
    <w:rsid w:val="00D956BA"/>
    <w:rsid w:val="00D97630"/>
    <w:rsid w:val="00DC04C5"/>
    <w:rsid w:val="00DE7A4A"/>
    <w:rsid w:val="00DF4DC0"/>
    <w:rsid w:val="00E0155A"/>
    <w:rsid w:val="00E06D8D"/>
    <w:rsid w:val="00E130C6"/>
    <w:rsid w:val="00E34F39"/>
    <w:rsid w:val="00E85AF8"/>
    <w:rsid w:val="00EA153E"/>
    <w:rsid w:val="00EA30B7"/>
    <w:rsid w:val="00EC187B"/>
    <w:rsid w:val="00EC4BFB"/>
    <w:rsid w:val="00EC6CE6"/>
    <w:rsid w:val="00EF0BC5"/>
    <w:rsid w:val="00F04AFB"/>
    <w:rsid w:val="00F067B4"/>
    <w:rsid w:val="00F1671C"/>
    <w:rsid w:val="00F352E5"/>
    <w:rsid w:val="00F412ED"/>
    <w:rsid w:val="00F74FE8"/>
    <w:rsid w:val="00F76F11"/>
    <w:rsid w:val="00FA2825"/>
    <w:rsid w:val="00FA321F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CBA1"/>
  <w15:docId w15:val="{18D14D53-9F02-461A-A6E5-2020605C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E12"/>
  </w:style>
  <w:style w:type="paragraph" w:styleId="Nadpis1">
    <w:name w:val="heading 1"/>
    <w:basedOn w:val="Normln"/>
    <w:next w:val="Normln"/>
    <w:link w:val="Nadpis1Char"/>
    <w:uiPriority w:val="9"/>
    <w:qFormat/>
    <w:rsid w:val="00CA6BBC"/>
    <w:pPr>
      <w:keepNext/>
      <w:keepLines/>
      <w:numPr>
        <w:numId w:val="11"/>
      </w:numPr>
      <w:spacing w:before="120" w:after="0"/>
      <w:ind w:left="714" w:hanging="35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8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Číslování"/>
    <w:basedOn w:val="Normln"/>
    <w:link w:val="OdstavecseseznamemChar"/>
    <w:uiPriority w:val="34"/>
    <w:qFormat/>
    <w:rsid w:val="003C0E12"/>
    <w:pPr>
      <w:ind w:left="720"/>
      <w:contextualSpacing/>
    </w:pPr>
  </w:style>
  <w:style w:type="paragraph" w:customStyle="1" w:styleId="Default">
    <w:name w:val="Default"/>
    <w:rsid w:val="003C0E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0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4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1B3"/>
  </w:style>
  <w:style w:type="paragraph" w:styleId="Zpat">
    <w:name w:val="footer"/>
    <w:basedOn w:val="Normln"/>
    <w:link w:val="ZpatChar"/>
    <w:uiPriority w:val="99"/>
    <w:unhideWhenUsed/>
    <w:rsid w:val="0004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1B3"/>
  </w:style>
  <w:style w:type="character" w:customStyle="1" w:styleId="Nadpis1Char">
    <w:name w:val="Nadpis 1 Char"/>
    <w:basedOn w:val="Standardnpsmoodstavce"/>
    <w:link w:val="Nadpis1"/>
    <w:uiPriority w:val="9"/>
    <w:rsid w:val="00CA6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266F1"/>
    <w:rPr>
      <w:color w:val="0000FF"/>
      <w:u w:val="single"/>
    </w:rPr>
  </w:style>
  <w:style w:type="paragraph" w:styleId="Bezmezer">
    <w:name w:val="No Spacing"/>
    <w:uiPriority w:val="1"/>
    <w:qFormat/>
    <w:rsid w:val="00C266F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rsid w:val="00D108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ulek">
    <w:name w:val="caption"/>
    <w:basedOn w:val="Normln"/>
    <w:next w:val="Normln"/>
    <w:link w:val="TitulekChar"/>
    <w:qFormat/>
    <w:rsid w:val="00510F1E"/>
    <w:pPr>
      <w:keepNext/>
      <w:spacing w:before="100" w:beforeAutospacing="1" w:after="120" w:line="240" w:lineRule="auto"/>
      <w:ind w:firstLine="284"/>
      <w:jc w:val="both"/>
    </w:pPr>
    <w:rPr>
      <w:rFonts w:ascii="Calibri" w:eastAsia="Calibri" w:hAnsi="Calibri" w:cs="Times New Roman"/>
      <w:bCs/>
      <w:sz w:val="20"/>
      <w:szCs w:val="20"/>
    </w:rPr>
  </w:style>
  <w:style w:type="character" w:customStyle="1" w:styleId="OdstavecseseznamemChar">
    <w:name w:val="Odstavec se seznamem Char"/>
    <w:aliases w:val="Číslování Char"/>
    <w:basedOn w:val="Standardnpsmoodstavce"/>
    <w:link w:val="Odstavecseseznamem"/>
    <w:uiPriority w:val="34"/>
    <w:qFormat/>
    <w:rsid w:val="00510F1E"/>
  </w:style>
  <w:style w:type="character" w:customStyle="1" w:styleId="TitulekChar">
    <w:name w:val="Titulek Char"/>
    <w:link w:val="Titulek"/>
    <w:locked/>
    <w:rsid w:val="00510F1E"/>
    <w:rPr>
      <w:rFonts w:ascii="Calibri" w:eastAsia="Calibri" w:hAnsi="Calibri" w:cs="Times New Roman"/>
      <w:bCs/>
      <w:sz w:val="20"/>
      <w:szCs w:val="20"/>
    </w:rPr>
  </w:style>
  <w:style w:type="paragraph" w:styleId="Zkladntext">
    <w:name w:val="Body Text"/>
    <w:basedOn w:val="Normln"/>
    <w:link w:val="ZkladntextChar"/>
    <w:rsid w:val="00510F1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0F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10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0F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10F1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F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A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932"/>
    <w:pPr>
      <w:numPr>
        <w:ilvl w:val="1"/>
      </w:numPr>
      <w:spacing w:after="120" w:line="360" w:lineRule="auto"/>
      <w:ind w:firstLine="284"/>
      <w:jc w:val="both"/>
    </w:pPr>
    <w:rPr>
      <w:rFonts w:ascii="Calibri" w:eastAsiaTheme="minorEastAsia" w:hAnsi="Calibri"/>
      <w:color w:val="5A5A5A" w:themeColor="text1" w:themeTint="A5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81932"/>
    <w:rPr>
      <w:rFonts w:ascii="Calibri" w:eastAsiaTheme="minorEastAsia" w:hAnsi="Calibri"/>
      <w:color w:val="5A5A5A" w:themeColor="text1" w:themeTint="A5"/>
      <w:spacing w:val="15"/>
      <w:sz w:val="24"/>
    </w:rPr>
  </w:style>
  <w:style w:type="character" w:customStyle="1" w:styleId="tr">
    <w:name w:val="tr"/>
    <w:basedOn w:val="Standardnpsmoodstavce"/>
    <w:rsid w:val="0040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1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23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7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7</Pages>
  <Words>1957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Hort</dc:creator>
  <cp:lastModifiedBy>Zeman Dalibor</cp:lastModifiedBy>
  <cp:revision>144</cp:revision>
  <dcterms:created xsi:type="dcterms:W3CDTF">2021-06-21T18:37:00Z</dcterms:created>
  <dcterms:modified xsi:type="dcterms:W3CDTF">2022-07-12T11:41:00Z</dcterms:modified>
</cp:coreProperties>
</file>