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8765" w14:textId="77777777" w:rsidR="00662708" w:rsidRPr="00EE568F" w:rsidRDefault="00662708" w:rsidP="00662708">
      <w:pPr>
        <w:pStyle w:val="Nadpis1"/>
        <w:spacing w:after="240" w:line="360" w:lineRule="auto"/>
        <w:rPr>
          <w:b/>
          <w:bCs/>
        </w:rPr>
      </w:pPr>
      <w:bookmarkStart w:id="0" w:name="_Toc76486892"/>
      <w:r w:rsidRPr="001B26EB">
        <w:rPr>
          <w:b/>
          <w:bCs/>
        </w:rPr>
        <w:t xml:space="preserve">Téma </w:t>
      </w:r>
      <w:r>
        <w:rPr>
          <w:b/>
          <w:bCs/>
        </w:rPr>
        <w:t>3</w:t>
      </w:r>
      <w:r w:rsidRPr="001B26EB">
        <w:rPr>
          <w:b/>
          <w:bCs/>
        </w:rPr>
        <w:t xml:space="preserve">: </w:t>
      </w:r>
      <w:r>
        <w:rPr>
          <w:b/>
          <w:bCs/>
        </w:rPr>
        <w:t>Kritéria hodnocení investic: čistá současná hodnota a její alternativy</w:t>
      </w:r>
      <w:bookmarkEnd w:id="0"/>
    </w:p>
    <w:p w14:paraId="7C3CF578" w14:textId="77777777" w:rsidR="00662708" w:rsidRPr="008A6D34" w:rsidRDefault="00662708" w:rsidP="00662708">
      <w:pPr>
        <w:tabs>
          <w:tab w:val="left" w:pos="1740"/>
        </w:tabs>
        <w:spacing w:after="120" w:line="360" w:lineRule="auto"/>
        <w:ind w:firstLine="284"/>
        <w:jc w:val="both"/>
        <w:rPr>
          <w:rFonts w:ascii="Times New Roman" w:hAnsi="Times New Roman" w:cs="Times New Roman"/>
          <w:sz w:val="24"/>
          <w:szCs w:val="28"/>
        </w:rPr>
      </w:pPr>
      <w:r>
        <w:rPr>
          <w:rFonts w:ascii="Times New Roman" w:hAnsi="Times New Roman" w:cs="Times New Roman"/>
          <w:sz w:val="24"/>
          <w:szCs w:val="28"/>
        </w:rPr>
        <w:t>I</w:t>
      </w:r>
      <w:r w:rsidRPr="008A6D34">
        <w:rPr>
          <w:rFonts w:ascii="Times New Roman" w:hAnsi="Times New Roman" w:cs="Times New Roman"/>
          <w:sz w:val="24"/>
          <w:szCs w:val="28"/>
        </w:rPr>
        <w:t>nvestici chápeme jako jednorázově vynaložené zdroje, které budou během dalšího časového období přinášet peněžní příjmy. Rozhodování o investicích má dlouhodobé účinky na vývoj a efektivnost podniku, proto patří k nejdůležitějším aktivitám podniku</w:t>
      </w:r>
      <w:r>
        <w:rPr>
          <w:rFonts w:ascii="Times New Roman" w:hAnsi="Times New Roman" w:cs="Times New Roman"/>
          <w:sz w:val="24"/>
          <w:szCs w:val="28"/>
        </w:rPr>
        <w:t>.</w:t>
      </w:r>
    </w:p>
    <w:p w14:paraId="49A1FD3F" w14:textId="77777777" w:rsidR="00662708" w:rsidRDefault="00662708" w:rsidP="00662708">
      <w:pPr>
        <w:spacing w:after="120" w:line="360" w:lineRule="auto"/>
        <w:ind w:firstLine="284"/>
        <w:jc w:val="both"/>
        <w:rPr>
          <w:rFonts w:ascii="Times New Roman" w:hAnsi="Times New Roman" w:cs="Times New Roman"/>
          <w:sz w:val="24"/>
          <w:szCs w:val="28"/>
        </w:rPr>
      </w:pPr>
      <w:r w:rsidRPr="008A6D34">
        <w:rPr>
          <w:rFonts w:ascii="Times New Roman" w:hAnsi="Times New Roman" w:cs="Times New Roman"/>
          <w:sz w:val="24"/>
          <w:szCs w:val="28"/>
        </w:rPr>
        <w:t xml:space="preserve">Při hodnocení investic do projektů se přihlíží charakteristikám </w:t>
      </w:r>
      <w:r>
        <w:rPr>
          <w:rFonts w:ascii="Times New Roman" w:hAnsi="Times New Roman" w:cs="Times New Roman"/>
          <w:sz w:val="24"/>
          <w:szCs w:val="28"/>
        </w:rPr>
        <w:t>jako je:</w:t>
      </w:r>
    </w:p>
    <w:p w14:paraId="667D2F14" w14:textId="77777777" w:rsidR="00662708" w:rsidRDefault="00662708" w:rsidP="00662708">
      <w:pPr>
        <w:pStyle w:val="Odstavecseseznamem"/>
        <w:numPr>
          <w:ilvl w:val="0"/>
          <w:numId w:val="3"/>
        </w:numPr>
        <w:spacing w:after="120" w:line="360" w:lineRule="auto"/>
        <w:jc w:val="both"/>
        <w:rPr>
          <w:rFonts w:ascii="Times New Roman" w:hAnsi="Times New Roman" w:cs="Times New Roman"/>
          <w:sz w:val="24"/>
          <w:szCs w:val="28"/>
        </w:rPr>
      </w:pPr>
      <w:r w:rsidRPr="00EC6DD3">
        <w:rPr>
          <w:rFonts w:ascii="Times New Roman" w:hAnsi="Times New Roman" w:cs="Times New Roman"/>
          <w:b/>
          <w:sz w:val="24"/>
          <w:szCs w:val="28"/>
        </w:rPr>
        <w:t>Cena majetku</w:t>
      </w:r>
      <w:r w:rsidRPr="00EC6DD3">
        <w:rPr>
          <w:rFonts w:ascii="Times New Roman" w:hAnsi="Times New Roman" w:cs="Times New Roman"/>
          <w:i/>
          <w:sz w:val="24"/>
          <w:szCs w:val="28"/>
        </w:rPr>
        <w:t xml:space="preserve"> – dlouhodobý</w:t>
      </w:r>
      <w:r w:rsidRPr="00EC6DD3">
        <w:rPr>
          <w:rFonts w:ascii="Times New Roman" w:hAnsi="Times New Roman" w:cs="Times New Roman"/>
          <w:sz w:val="24"/>
          <w:szCs w:val="28"/>
        </w:rPr>
        <w:t xml:space="preserve"> majetek se v závislosti na své povaze oceňuje cenou: </w:t>
      </w:r>
    </w:p>
    <w:p w14:paraId="6B840042" w14:textId="77777777" w:rsidR="00662708" w:rsidRPr="00EC6DD3" w:rsidRDefault="00662708" w:rsidP="00662708">
      <w:pPr>
        <w:pStyle w:val="Odstavecseseznamem"/>
        <w:numPr>
          <w:ilvl w:val="0"/>
          <w:numId w:val="4"/>
        </w:numPr>
        <w:spacing w:after="120" w:line="360" w:lineRule="auto"/>
        <w:jc w:val="both"/>
        <w:rPr>
          <w:rFonts w:ascii="Times New Roman" w:hAnsi="Times New Roman" w:cs="Times New Roman"/>
          <w:sz w:val="24"/>
          <w:szCs w:val="28"/>
        </w:rPr>
      </w:pPr>
      <w:r w:rsidRPr="00EC6DD3">
        <w:rPr>
          <w:rFonts w:ascii="Times New Roman" w:hAnsi="Times New Roman" w:cs="Times New Roman"/>
          <w:i/>
          <w:sz w:val="24"/>
          <w:szCs w:val="28"/>
        </w:rPr>
        <w:t>pořízení</w:t>
      </w:r>
      <w:r w:rsidRPr="00EC6DD3">
        <w:rPr>
          <w:rFonts w:ascii="Times New Roman" w:hAnsi="Times New Roman" w:cs="Times New Roman"/>
          <w:sz w:val="24"/>
          <w:szCs w:val="28"/>
        </w:rPr>
        <w:t xml:space="preserve"> (například cenné papíry), </w:t>
      </w:r>
      <w:r w:rsidRPr="00EC6DD3">
        <w:rPr>
          <w:rFonts w:ascii="Times New Roman" w:hAnsi="Times New Roman" w:cs="Times New Roman"/>
          <w:i/>
          <w:sz w:val="24"/>
          <w:szCs w:val="28"/>
        </w:rPr>
        <w:t>pořizovací</w:t>
      </w:r>
      <w:r w:rsidRPr="00EC6DD3">
        <w:rPr>
          <w:rFonts w:ascii="Times New Roman" w:hAnsi="Times New Roman" w:cs="Times New Roman"/>
          <w:sz w:val="24"/>
          <w:szCs w:val="28"/>
        </w:rPr>
        <w:t xml:space="preserve"> (zahrnuje cenu pořízení a další pořizovací náklady jako clo, dopravu, provizi, instalaci, zaučení personálu atd.), </w:t>
      </w:r>
    </w:p>
    <w:p w14:paraId="420AD6B1" w14:textId="77777777" w:rsidR="00662708" w:rsidRDefault="00662708" w:rsidP="00662708">
      <w:pPr>
        <w:pStyle w:val="Odstavecseseznamem"/>
        <w:numPr>
          <w:ilvl w:val="0"/>
          <w:numId w:val="4"/>
        </w:numPr>
        <w:spacing w:after="120" w:line="360" w:lineRule="auto"/>
        <w:jc w:val="both"/>
        <w:rPr>
          <w:rFonts w:ascii="Times New Roman" w:hAnsi="Times New Roman" w:cs="Times New Roman"/>
          <w:sz w:val="24"/>
          <w:szCs w:val="28"/>
        </w:rPr>
      </w:pPr>
      <w:r w:rsidRPr="00EC6DD3">
        <w:rPr>
          <w:rFonts w:ascii="Times New Roman" w:hAnsi="Times New Roman" w:cs="Times New Roman"/>
          <w:i/>
          <w:sz w:val="24"/>
          <w:szCs w:val="28"/>
        </w:rPr>
        <w:t>reprodukční pořizovací</w:t>
      </w:r>
      <w:r w:rsidRPr="00EC6DD3">
        <w:rPr>
          <w:rFonts w:ascii="Times New Roman" w:hAnsi="Times New Roman" w:cs="Times New Roman"/>
          <w:sz w:val="24"/>
          <w:szCs w:val="28"/>
        </w:rPr>
        <w:t xml:space="preserve"> (teoretická cena, která by dle znaleckého odhadu měla být uplatňována na trhu – používá se pro dlouhodobý majetek, který se již běžně neprodává nebo, který byl darován), </w:t>
      </w:r>
    </w:p>
    <w:p w14:paraId="34DB21BD" w14:textId="77777777" w:rsidR="00662708" w:rsidRDefault="00662708" w:rsidP="00662708">
      <w:pPr>
        <w:pStyle w:val="Odstavecseseznamem"/>
        <w:numPr>
          <w:ilvl w:val="0"/>
          <w:numId w:val="4"/>
        </w:numPr>
        <w:spacing w:after="120" w:line="360" w:lineRule="auto"/>
        <w:jc w:val="both"/>
        <w:rPr>
          <w:rFonts w:ascii="Times New Roman" w:hAnsi="Times New Roman" w:cs="Times New Roman"/>
          <w:sz w:val="24"/>
          <w:szCs w:val="28"/>
        </w:rPr>
      </w:pPr>
      <w:r w:rsidRPr="00EC6DD3">
        <w:rPr>
          <w:rFonts w:ascii="Times New Roman" w:hAnsi="Times New Roman" w:cs="Times New Roman"/>
          <w:i/>
          <w:sz w:val="24"/>
          <w:szCs w:val="28"/>
        </w:rPr>
        <w:t>tržní</w:t>
      </w:r>
      <w:r w:rsidRPr="00EC6DD3">
        <w:rPr>
          <w:rFonts w:ascii="Times New Roman" w:hAnsi="Times New Roman" w:cs="Times New Roman"/>
          <w:sz w:val="24"/>
          <w:szCs w:val="28"/>
        </w:rPr>
        <w:t xml:space="preserve"> (hodnota majetku na trhu), </w:t>
      </w:r>
    </w:p>
    <w:p w14:paraId="55AA168B" w14:textId="77777777" w:rsidR="00662708" w:rsidRPr="00EC6DD3" w:rsidRDefault="00662708" w:rsidP="00662708">
      <w:pPr>
        <w:pStyle w:val="Odstavecseseznamem"/>
        <w:numPr>
          <w:ilvl w:val="0"/>
          <w:numId w:val="4"/>
        </w:numPr>
        <w:spacing w:after="120" w:line="360" w:lineRule="auto"/>
        <w:jc w:val="both"/>
        <w:rPr>
          <w:rFonts w:ascii="Times New Roman" w:hAnsi="Times New Roman" w:cs="Times New Roman"/>
          <w:sz w:val="24"/>
          <w:szCs w:val="28"/>
        </w:rPr>
      </w:pPr>
      <w:r w:rsidRPr="00EC6DD3">
        <w:rPr>
          <w:rFonts w:ascii="Times New Roman" w:hAnsi="Times New Roman" w:cs="Times New Roman"/>
          <w:i/>
          <w:sz w:val="24"/>
          <w:szCs w:val="28"/>
        </w:rPr>
        <w:t>vlastními náklady</w:t>
      </w:r>
      <w:r w:rsidRPr="00EC6DD3">
        <w:rPr>
          <w:rFonts w:ascii="Times New Roman" w:hAnsi="Times New Roman" w:cs="Times New Roman"/>
          <w:sz w:val="24"/>
          <w:szCs w:val="28"/>
        </w:rPr>
        <w:t xml:space="preserve"> (v případě vlastní výroby dlouhodobého majetku).</w:t>
      </w:r>
    </w:p>
    <w:p w14:paraId="792FA5E3" w14:textId="77777777" w:rsidR="00662708" w:rsidRDefault="00662708" w:rsidP="00662708">
      <w:pPr>
        <w:pStyle w:val="Odstavecseseznamem"/>
        <w:numPr>
          <w:ilvl w:val="0"/>
          <w:numId w:val="3"/>
        </w:numPr>
        <w:spacing w:after="120" w:line="360" w:lineRule="auto"/>
        <w:jc w:val="both"/>
        <w:rPr>
          <w:rFonts w:ascii="Times New Roman" w:hAnsi="Times New Roman" w:cs="Times New Roman"/>
          <w:sz w:val="24"/>
          <w:szCs w:val="28"/>
        </w:rPr>
      </w:pPr>
      <w:r w:rsidRPr="00EC6DD3">
        <w:rPr>
          <w:rFonts w:ascii="Times New Roman" w:hAnsi="Times New Roman" w:cs="Times New Roman"/>
          <w:b/>
          <w:sz w:val="24"/>
          <w:szCs w:val="28"/>
        </w:rPr>
        <w:t>Výnosnost</w:t>
      </w:r>
      <w:r w:rsidRPr="00EC6DD3">
        <w:rPr>
          <w:rFonts w:ascii="Times New Roman" w:hAnsi="Times New Roman" w:cs="Times New Roman"/>
          <w:i/>
          <w:sz w:val="24"/>
          <w:szCs w:val="28"/>
        </w:rPr>
        <w:t xml:space="preserve"> – hodnotí</w:t>
      </w:r>
      <w:r w:rsidRPr="00EC6DD3">
        <w:rPr>
          <w:rFonts w:ascii="Times New Roman" w:hAnsi="Times New Roman" w:cs="Times New Roman"/>
          <w:sz w:val="24"/>
          <w:szCs w:val="28"/>
        </w:rPr>
        <w:t xml:space="preserve"> se to, zda je investice přínosem či ztrátou.</w:t>
      </w:r>
    </w:p>
    <w:p w14:paraId="33FBFC0A" w14:textId="77777777" w:rsidR="00662708" w:rsidRDefault="00662708" w:rsidP="00662708">
      <w:pPr>
        <w:pStyle w:val="Odstavecseseznamem"/>
        <w:numPr>
          <w:ilvl w:val="0"/>
          <w:numId w:val="3"/>
        </w:numPr>
        <w:spacing w:after="120" w:line="360" w:lineRule="auto"/>
        <w:jc w:val="both"/>
        <w:rPr>
          <w:rFonts w:ascii="Times New Roman" w:hAnsi="Times New Roman" w:cs="Times New Roman"/>
          <w:sz w:val="24"/>
          <w:szCs w:val="28"/>
        </w:rPr>
      </w:pPr>
      <w:r w:rsidRPr="00EC6DD3">
        <w:rPr>
          <w:rFonts w:ascii="Times New Roman" w:hAnsi="Times New Roman" w:cs="Times New Roman"/>
          <w:b/>
          <w:sz w:val="24"/>
          <w:szCs w:val="28"/>
        </w:rPr>
        <w:t>Faktor času</w:t>
      </w:r>
      <w:r w:rsidRPr="00EC6DD3">
        <w:rPr>
          <w:rFonts w:ascii="Times New Roman" w:hAnsi="Times New Roman" w:cs="Times New Roman"/>
          <w:i/>
          <w:sz w:val="24"/>
          <w:szCs w:val="28"/>
        </w:rPr>
        <w:t xml:space="preserve"> – říká</w:t>
      </w:r>
      <w:r w:rsidRPr="00EC6DD3">
        <w:rPr>
          <w:rFonts w:ascii="Times New Roman" w:hAnsi="Times New Roman" w:cs="Times New Roman"/>
          <w:sz w:val="24"/>
          <w:szCs w:val="24"/>
        </w:rPr>
        <w:t>, že koruna</w:t>
      </w:r>
      <w:r w:rsidRPr="00EC6DD3">
        <w:rPr>
          <w:rFonts w:ascii="Times New Roman" w:hAnsi="Times New Roman" w:cs="Times New Roman"/>
          <w:i/>
          <w:sz w:val="24"/>
          <w:szCs w:val="24"/>
        </w:rPr>
        <w:t xml:space="preserve"> dnes </w:t>
      </w:r>
      <w:r w:rsidRPr="00EC6DD3">
        <w:rPr>
          <w:rFonts w:ascii="Times New Roman" w:hAnsi="Times New Roman" w:cs="Times New Roman"/>
          <w:sz w:val="24"/>
          <w:szCs w:val="24"/>
        </w:rPr>
        <w:t xml:space="preserve">má </w:t>
      </w:r>
      <w:r w:rsidRPr="00EC6DD3">
        <w:rPr>
          <w:rFonts w:ascii="Times New Roman" w:hAnsi="Times New Roman" w:cs="Times New Roman"/>
          <w:i/>
          <w:sz w:val="24"/>
          <w:szCs w:val="24"/>
        </w:rPr>
        <w:t xml:space="preserve">větší hodnotu </w:t>
      </w:r>
      <w:r w:rsidRPr="00EC6DD3">
        <w:rPr>
          <w:rFonts w:ascii="Times New Roman" w:hAnsi="Times New Roman" w:cs="Times New Roman"/>
          <w:sz w:val="24"/>
          <w:szCs w:val="24"/>
        </w:rPr>
        <w:t xml:space="preserve">než koruna </w:t>
      </w:r>
      <w:r w:rsidRPr="00EC6DD3">
        <w:rPr>
          <w:rFonts w:ascii="Times New Roman" w:hAnsi="Times New Roman" w:cs="Times New Roman"/>
          <w:i/>
          <w:sz w:val="24"/>
          <w:szCs w:val="24"/>
        </w:rPr>
        <w:t>zítra</w:t>
      </w:r>
      <w:r w:rsidRPr="00EC6DD3">
        <w:rPr>
          <w:rFonts w:ascii="Times New Roman" w:hAnsi="Times New Roman" w:cs="Times New Roman"/>
          <w:sz w:val="24"/>
          <w:szCs w:val="24"/>
        </w:rPr>
        <w:t>, protože dnešní koruna může být investována, aby okamžitě začala vydělávat úrok</w:t>
      </w:r>
      <w:r w:rsidRPr="00EC6DD3">
        <w:rPr>
          <w:rFonts w:ascii="Times New Roman" w:hAnsi="Times New Roman" w:cs="Times New Roman"/>
          <w:sz w:val="24"/>
          <w:szCs w:val="28"/>
        </w:rPr>
        <w:t>.</w:t>
      </w:r>
    </w:p>
    <w:p w14:paraId="6500C7CC" w14:textId="77777777" w:rsidR="00662708" w:rsidRPr="00EC6DD3" w:rsidRDefault="00662708" w:rsidP="00662708">
      <w:pPr>
        <w:pStyle w:val="Odstavecseseznamem"/>
        <w:numPr>
          <w:ilvl w:val="0"/>
          <w:numId w:val="3"/>
        </w:numPr>
        <w:spacing w:after="120" w:line="360" w:lineRule="auto"/>
        <w:jc w:val="both"/>
        <w:rPr>
          <w:rFonts w:ascii="Times New Roman" w:hAnsi="Times New Roman" w:cs="Times New Roman"/>
          <w:sz w:val="24"/>
          <w:szCs w:val="28"/>
        </w:rPr>
      </w:pPr>
      <w:r w:rsidRPr="00EC6DD3">
        <w:rPr>
          <w:rFonts w:ascii="Times New Roman" w:hAnsi="Times New Roman" w:cs="Times New Roman"/>
          <w:b/>
          <w:sz w:val="24"/>
          <w:szCs w:val="28"/>
        </w:rPr>
        <w:t>Faktor rizika</w:t>
      </w:r>
      <w:r w:rsidRPr="00EC6DD3">
        <w:rPr>
          <w:rFonts w:ascii="Times New Roman" w:hAnsi="Times New Roman" w:cs="Times New Roman"/>
          <w:i/>
          <w:sz w:val="24"/>
          <w:szCs w:val="28"/>
        </w:rPr>
        <w:t xml:space="preserve"> </w:t>
      </w:r>
      <w:r w:rsidRPr="00EC6DD3">
        <w:rPr>
          <w:rFonts w:ascii="Times New Roman" w:hAnsi="Times New Roman" w:cs="Times New Roman"/>
          <w:sz w:val="24"/>
          <w:szCs w:val="28"/>
        </w:rPr>
        <w:t>– říká</w:t>
      </w:r>
      <w:r w:rsidRPr="00EC6DD3">
        <w:rPr>
          <w:rFonts w:ascii="Times New Roman" w:hAnsi="Times New Roman" w:cs="Times New Roman"/>
          <w:sz w:val="24"/>
          <w:szCs w:val="24"/>
        </w:rPr>
        <w:t xml:space="preserve">, že </w:t>
      </w:r>
      <w:r w:rsidRPr="00EC6DD3">
        <w:rPr>
          <w:rFonts w:ascii="Times New Roman" w:hAnsi="Times New Roman" w:cs="Times New Roman"/>
          <w:i/>
          <w:sz w:val="24"/>
          <w:szCs w:val="24"/>
        </w:rPr>
        <w:t xml:space="preserve">bezpečná koruna </w:t>
      </w:r>
      <w:r w:rsidRPr="00EC6DD3">
        <w:rPr>
          <w:rFonts w:ascii="Times New Roman" w:hAnsi="Times New Roman" w:cs="Times New Roman"/>
          <w:sz w:val="24"/>
          <w:szCs w:val="24"/>
        </w:rPr>
        <w:t xml:space="preserve">má </w:t>
      </w:r>
      <w:r w:rsidRPr="00EC6DD3">
        <w:rPr>
          <w:rFonts w:ascii="Times New Roman" w:hAnsi="Times New Roman" w:cs="Times New Roman"/>
          <w:i/>
          <w:sz w:val="24"/>
          <w:szCs w:val="24"/>
        </w:rPr>
        <w:t xml:space="preserve">větší hodnotu </w:t>
      </w:r>
      <w:r w:rsidRPr="00EC6DD3">
        <w:rPr>
          <w:rFonts w:ascii="Times New Roman" w:hAnsi="Times New Roman" w:cs="Times New Roman"/>
          <w:sz w:val="24"/>
          <w:szCs w:val="24"/>
        </w:rPr>
        <w:t xml:space="preserve">než </w:t>
      </w:r>
      <w:r w:rsidRPr="00EC6DD3">
        <w:rPr>
          <w:rFonts w:ascii="Times New Roman" w:hAnsi="Times New Roman" w:cs="Times New Roman"/>
          <w:i/>
          <w:sz w:val="24"/>
          <w:szCs w:val="24"/>
        </w:rPr>
        <w:t>riziková koruna</w:t>
      </w:r>
      <w:r w:rsidRPr="00EC6DD3">
        <w:rPr>
          <w:rFonts w:ascii="Times New Roman" w:hAnsi="Times New Roman" w:cs="Times New Roman"/>
          <w:sz w:val="24"/>
          <w:szCs w:val="24"/>
        </w:rPr>
        <w:t>. Většina investorů se vyhne riziku, jestliže tak mohou učinit. Pokud na riziko přistoupí, jako kompenzaci požadují vyšší výnos</w:t>
      </w:r>
      <w:r w:rsidRPr="00EC6DD3">
        <w:rPr>
          <w:rFonts w:ascii="Times New Roman" w:hAnsi="Times New Roman" w:cs="Times New Roman"/>
          <w:sz w:val="24"/>
          <w:szCs w:val="28"/>
        </w:rPr>
        <w:t>.</w:t>
      </w:r>
    </w:p>
    <w:p w14:paraId="69FDD7D7" w14:textId="77777777" w:rsidR="00662708" w:rsidRPr="00F724C6" w:rsidRDefault="00662708" w:rsidP="00662708">
      <w:pPr>
        <w:spacing w:after="120" w:line="360" w:lineRule="auto"/>
        <w:ind w:firstLine="284"/>
        <w:jc w:val="both"/>
        <w:rPr>
          <w:rFonts w:ascii="Times New Roman" w:hAnsi="Times New Roman" w:cs="Times New Roman"/>
          <w:sz w:val="24"/>
          <w:szCs w:val="24"/>
        </w:rPr>
      </w:pPr>
      <w:r w:rsidRPr="00F724C6">
        <w:rPr>
          <w:rFonts w:ascii="Times New Roman" w:hAnsi="Times New Roman" w:cs="Times New Roman"/>
          <w:sz w:val="24"/>
          <w:szCs w:val="24"/>
        </w:rPr>
        <w:t xml:space="preserve">Cílem této </w:t>
      </w:r>
      <w:r>
        <w:rPr>
          <w:rFonts w:ascii="Times New Roman" w:hAnsi="Times New Roman" w:cs="Times New Roman"/>
          <w:sz w:val="24"/>
          <w:szCs w:val="24"/>
        </w:rPr>
        <w:t>části</w:t>
      </w:r>
      <w:r w:rsidRPr="00F724C6">
        <w:rPr>
          <w:rFonts w:ascii="Times New Roman" w:hAnsi="Times New Roman" w:cs="Times New Roman"/>
          <w:sz w:val="24"/>
          <w:szCs w:val="24"/>
        </w:rPr>
        <w:t xml:space="preserve"> je vysvětlit, proč </w:t>
      </w:r>
      <w:r>
        <w:rPr>
          <w:rFonts w:ascii="Times New Roman" w:hAnsi="Times New Roman" w:cs="Times New Roman"/>
          <w:sz w:val="24"/>
          <w:szCs w:val="24"/>
        </w:rPr>
        <w:t xml:space="preserve">rozhodovací pravidlo </w:t>
      </w:r>
      <w:r w:rsidRPr="00F724C6">
        <w:rPr>
          <w:rFonts w:ascii="Times New Roman" w:hAnsi="Times New Roman" w:cs="Times New Roman"/>
          <w:i/>
          <w:sz w:val="24"/>
          <w:szCs w:val="24"/>
        </w:rPr>
        <w:t>čistá současná hodnota</w:t>
      </w:r>
      <w:r w:rsidRPr="00F724C6">
        <w:rPr>
          <w:rFonts w:ascii="Times New Roman" w:hAnsi="Times New Roman" w:cs="Times New Roman"/>
          <w:i/>
          <w:sz w:val="24"/>
          <w:szCs w:val="24"/>
        </w:rPr>
        <w:fldChar w:fldCharType="begin"/>
      </w:r>
      <w:r w:rsidRPr="00F724C6">
        <w:rPr>
          <w:rFonts w:ascii="Times New Roman" w:hAnsi="Times New Roman" w:cs="Times New Roman"/>
          <w:sz w:val="24"/>
          <w:szCs w:val="24"/>
        </w:rPr>
        <w:instrText xml:space="preserve"> PR "čistá současná hodnota" </w:instrText>
      </w:r>
      <w:r w:rsidRPr="00F724C6">
        <w:rPr>
          <w:rFonts w:ascii="Times New Roman" w:hAnsi="Times New Roman" w:cs="Times New Roman"/>
          <w:i/>
          <w:sz w:val="24"/>
          <w:szCs w:val="24"/>
        </w:rPr>
        <w:fldChar w:fldCharType="end"/>
      </w:r>
      <w:r w:rsidRPr="00F724C6">
        <w:rPr>
          <w:rFonts w:ascii="Times New Roman" w:hAnsi="Times New Roman" w:cs="Times New Roman"/>
          <w:i/>
          <w:sz w:val="24"/>
          <w:szCs w:val="24"/>
        </w:rPr>
        <w:t xml:space="preserve"> </w:t>
      </w:r>
      <w:r>
        <w:rPr>
          <w:rFonts w:ascii="Times New Roman" w:hAnsi="Times New Roman" w:cs="Times New Roman"/>
          <w:iCs/>
          <w:sz w:val="24"/>
          <w:szCs w:val="24"/>
        </w:rPr>
        <w:t xml:space="preserve">(NPV) </w:t>
      </w:r>
      <w:r w:rsidRPr="00F724C6">
        <w:rPr>
          <w:rFonts w:ascii="Times New Roman" w:hAnsi="Times New Roman" w:cs="Times New Roman"/>
          <w:sz w:val="24"/>
          <w:szCs w:val="24"/>
        </w:rPr>
        <w:t xml:space="preserve">vede k </w:t>
      </w:r>
      <w:r w:rsidRPr="00F724C6">
        <w:rPr>
          <w:rFonts w:ascii="Times New Roman" w:hAnsi="Times New Roman" w:cs="Times New Roman"/>
          <w:i/>
          <w:sz w:val="24"/>
          <w:szCs w:val="24"/>
        </w:rPr>
        <w:t>lepším</w:t>
      </w:r>
      <w:r w:rsidRPr="00F724C6">
        <w:rPr>
          <w:rFonts w:ascii="Times New Roman" w:hAnsi="Times New Roman" w:cs="Times New Roman"/>
          <w:sz w:val="24"/>
          <w:szCs w:val="24"/>
        </w:rPr>
        <w:t xml:space="preserve"> investičním </w:t>
      </w:r>
      <w:r w:rsidRPr="00F724C6">
        <w:rPr>
          <w:rFonts w:ascii="Times New Roman" w:hAnsi="Times New Roman" w:cs="Times New Roman"/>
          <w:i/>
          <w:sz w:val="24"/>
          <w:szCs w:val="24"/>
        </w:rPr>
        <w:t>rozhodnutím</w:t>
      </w:r>
      <w:r w:rsidRPr="00F724C6">
        <w:rPr>
          <w:rFonts w:ascii="Times New Roman" w:hAnsi="Times New Roman" w:cs="Times New Roman"/>
          <w:sz w:val="24"/>
          <w:szCs w:val="24"/>
        </w:rPr>
        <w:t xml:space="preserve"> než jiná kritéria. Za tím účelem se zde stručně zmíníme o čtyřech</w:t>
      </w:r>
      <w:r w:rsidRPr="00F724C6">
        <w:rPr>
          <w:rFonts w:ascii="Times New Roman" w:hAnsi="Times New Roman" w:cs="Times New Roman"/>
          <w:sz w:val="24"/>
          <w:szCs w:val="24"/>
          <w:vertAlign w:val="superscript"/>
        </w:rPr>
        <w:t xml:space="preserve"> </w:t>
      </w:r>
      <w:r w:rsidRPr="00F724C6">
        <w:rPr>
          <w:rFonts w:ascii="Times New Roman" w:hAnsi="Times New Roman" w:cs="Times New Roman"/>
          <w:sz w:val="24"/>
          <w:szCs w:val="24"/>
        </w:rPr>
        <w:t xml:space="preserve">nejrozšířenějších konkurenčních alternativách pravidla NPV. Jsou to: </w:t>
      </w:r>
      <w:r>
        <w:rPr>
          <w:rFonts w:ascii="Times New Roman" w:hAnsi="Times New Roman" w:cs="Times New Roman"/>
          <w:i/>
          <w:iCs/>
          <w:sz w:val="24"/>
          <w:szCs w:val="24"/>
        </w:rPr>
        <w:t xml:space="preserve">diskontovaná </w:t>
      </w:r>
      <w:r>
        <w:rPr>
          <w:rFonts w:ascii="Times New Roman" w:hAnsi="Times New Roman" w:cs="Times New Roman"/>
          <w:i/>
          <w:sz w:val="24"/>
          <w:szCs w:val="24"/>
        </w:rPr>
        <w:t>n</w:t>
      </w:r>
      <w:r w:rsidRPr="00F724C6">
        <w:rPr>
          <w:rFonts w:ascii="Times New Roman" w:hAnsi="Times New Roman" w:cs="Times New Roman"/>
          <w:i/>
          <w:sz w:val="24"/>
          <w:szCs w:val="24"/>
        </w:rPr>
        <w:t>ávratnost, průměrný výnos z účetní hodnoty</w:t>
      </w:r>
      <w:r w:rsidRPr="00F724C6">
        <w:rPr>
          <w:rFonts w:ascii="Times New Roman" w:hAnsi="Times New Roman" w:cs="Times New Roman"/>
          <w:i/>
          <w:sz w:val="24"/>
          <w:szCs w:val="24"/>
        </w:rPr>
        <w:fldChar w:fldCharType="begin"/>
      </w:r>
      <w:r w:rsidRPr="00F724C6">
        <w:rPr>
          <w:rFonts w:ascii="Times New Roman" w:hAnsi="Times New Roman" w:cs="Times New Roman"/>
          <w:sz w:val="24"/>
          <w:szCs w:val="24"/>
        </w:rPr>
        <w:instrText xml:space="preserve"> PR "výnos z účetní hodnoty" </w:instrText>
      </w:r>
      <w:r w:rsidRPr="00F724C6">
        <w:rPr>
          <w:rFonts w:ascii="Times New Roman" w:hAnsi="Times New Roman" w:cs="Times New Roman"/>
          <w:i/>
          <w:sz w:val="24"/>
          <w:szCs w:val="24"/>
        </w:rPr>
        <w:fldChar w:fldCharType="end"/>
      </w:r>
      <w:r w:rsidRPr="00F724C6">
        <w:rPr>
          <w:rFonts w:ascii="Times New Roman" w:hAnsi="Times New Roman" w:cs="Times New Roman"/>
          <w:i/>
          <w:sz w:val="24"/>
          <w:szCs w:val="24"/>
        </w:rPr>
        <w:t>, vnitřní výnosová míra, index ziskovosti</w:t>
      </w:r>
      <w:r w:rsidRPr="00F724C6">
        <w:rPr>
          <w:rFonts w:ascii="Times New Roman" w:hAnsi="Times New Roman" w:cs="Times New Roman"/>
          <w:sz w:val="24"/>
          <w:szCs w:val="24"/>
        </w:rPr>
        <w:t xml:space="preserve">. </w:t>
      </w:r>
    </w:p>
    <w:p w14:paraId="4A4E412D" w14:textId="77777777" w:rsidR="00662708" w:rsidRDefault="00662708" w:rsidP="00662708">
      <w:pPr>
        <w:pStyle w:val="Nadpis2"/>
        <w:numPr>
          <w:ilvl w:val="1"/>
          <w:numId w:val="1"/>
        </w:numPr>
        <w:spacing w:before="120" w:after="120" w:line="360" w:lineRule="auto"/>
        <w:ind w:left="2084" w:hanging="360"/>
        <w:rPr>
          <w:b/>
          <w:bCs/>
        </w:rPr>
      </w:pPr>
      <w:bookmarkStart w:id="1" w:name="_Toc76486893"/>
      <w:r w:rsidRPr="00F724C6">
        <w:rPr>
          <w:b/>
          <w:bCs/>
        </w:rPr>
        <w:t>Čistá současná hodnota</w:t>
      </w:r>
      <w:r>
        <w:rPr>
          <w:b/>
          <w:bCs/>
        </w:rPr>
        <w:t xml:space="preserve"> (NPV)</w:t>
      </w:r>
      <w:bookmarkEnd w:id="1"/>
    </w:p>
    <w:p w14:paraId="37272EAB" w14:textId="77777777" w:rsidR="00662708" w:rsidRPr="00F724C6" w:rsidRDefault="00662708" w:rsidP="00662708">
      <w:pPr>
        <w:spacing w:after="120" w:line="360" w:lineRule="auto"/>
        <w:ind w:firstLine="284"/>
        <w:jc w:val="both"/>
        <w:rPr>
          <w:rFonts w:ascii="Times New Roman" w:hAnsi="Times New Roman" w:cs="Times New Roman"/>
          <w:sz w:val="24"/>
          <w:szCs w:val="24"/>
        </w:rPr>
      </w:pPr>
      <w:r w:rsidRPr="00F724C6">
        <w:rPr>
          <w:rFonts w:ascii="Times New Roman" w:hAnsi="Times New Roman" w:cs="Times New Roman"/>
          <w:sz w:val="24"/>
          <w:szCs w:val="24"/>
        </w:rPr>
        <w:t xml:space="preserve">Jak se pozná, že investice do daného aktiva je výnosovou příležitostí? Pakliže současná hodnota cash </w:t>
      </w:r>
      <w:proofErr w:type="spellStart"/>
      <w:r w:rsidRPr="00F724C6">
        <w:rPr>
          <w:rFonts w:ascii="Times New Roman" w:hAnsi="Times New Roman" w:cs="Times New Roman"/>
          <w:sz w:val="24"/>
          <w:szCs w:val="24"/>
        </w:rPr>
        <w:t>flow</w:t>
      </w:r>
      <w:proofErr w:type="spellEnd"/>
      <w:r w:rsidRPr="00F724C6">
        <w:rPr>
          <w:rFonts w:ascii="Times New Roman" w:hAnsi="Times New Roman" w:cs="Times New Roman"/>
          <w:i/>
          <w:sz w:val="24"/>
          <w:szCs w:val="24"/>
        </w:rPr>
        <w:t xml:space="preserve"> PV</w:t>
      </w:r>
      <w:r w:rsidRPr="00F724C6">
        <w:rPr>
          <w:rFonts w:ascii="Times New Roman" w:hAnsi="Times New Roman" w:cs="Times New Roman"/>
          <w:i/>
          <w:sz w:val="24"/>
          <w:szCs w:val="24"/>
          <w:vertAlign w:val="subscript"/>
        </w:rPr>
        <w:t>CF</w:t>
      </w:r>
      <w:r w:rsidRPr="00F724C6">
        <w:rPr>
          <w:rFonts w:ascii="Times New Roman" w:hAnsi="Times New Roman" w:cs="Times New Roman"/>
          <w:sz w:val="24"/>
          <w:szCs w:val="24"/>
        </w:rPr>
        <w:t xml:space="preserve"> převyšuje současnou hodnotu kapitálových výdajů</w:t>
      </w:r>
      <w:r w:rsidRPr="00F724C6">
        <w:rPr>
          <w:rFonts w:ascii="Times New Roman" w:hAnsi="Times New Roman" w:cs="Times New Roman"/>
          <w:i/>
          <w:sz w:val="24"/>
          <w:szCs w:val="24"/>
        </w:rPr>
        <w:t xml:space="preserve"> PV</w:t>
      </w:r>
      <w:r w:rsidRPr="00F724C6">
        <w:rPr>
          <w:rFonts w:ascii="Times New Roman" w:hAnsi="Times New Roman" w:cs="Times New Roman"/>
          <w:i/>
          <w:sz w:val="24"/>
          <w:szCs w:val="24"/>
          <w:vertAlign w:val="subscript"/>
        </w:rPr>
        <w:t>I</w:t>
      </w:r>
      <w:r w:rsidRPr="00F724C6">
        <w:rPr>
          <w:rFonts w:ascii="Times New Roman" w:hAnsi="Times New Roman" w:cs="Times New Roman"/>
          <w:sz w:val="24"/>
          <w:szCs w:val="24"/>
        </w:rPr>
        <w:t xml:space="preserve">. Toto je základem filozofie rozhodování podle </w:t>
      </w:r>
      <w:r w:rsidRPr="00F724C6">
        <w:rPr>
          <w:rFonts w:ascii="Times New Roman" w:hAnsi="Times New Roman" w:cs="Times New Roman"/>
          <w:i/>
          <w:sz w:val="24"/>
          <w:szCs w:val="24"/>
        </w:rPr>
        <w:t>čisté současné hodnoty</w:t>
      </w:r>
      <w:r w:rsidRPr="00F724C6">
        <w:rPr>
          <w:rFonts w:ascii="Times New Roman" w:hAnsi="Times New Roman" w:cs="Times New Roman"/>
          <w:b/>
          <w:sz w:val="24"/>
          <w:szCs w:val="24"/>
        </w:rPr>
        <w:t xml:space="preserve"> </w:t>
      </w:r>
      <w:r w:rsidRPr="00F724C6">
        <w:rPr>
          <w:rFonts w:ascii="Times New Roman" w:hAnsi="Times New Roman" w:cs="Times New Roman"/>
          <w:sz w:val="24"/>
          <w:szCs w:val="24"/>
        </w:rPr>
        <w:t>(</w:t>
      </w:r>
      <w:r w:rsidRPr="00DD4331">
        <w:rPr>
          <w:rFonts w:ascii="Times New Roman" w:hAnsi="Times New Roman" w:cs="Times New Roman"/>
          <w:iCs/>
          <w:sz w:val="24"/>
          <w:szCs w:val="24"/>
        </w:rPr>
        <w:t>NPV</w:t>
      </w:r>
      <w:r w:rsidRPr="00F724C6">
        <w:rPr>
          <w:rFonts w:ascii="Times New Roman" w:hAnsi="Times New Roman" w:cs="Times New Roman"/>
          <w:sz w:val="24"/>
          <w:szCs w:val="24"/>
        </w:rPr>
        <w:t xml:space="preserve">) – viz obr. </w:t>
      </w:r>
      <w:r>
        <w:rPr>
          <w:rFonts w:ascii="Times New Roman" w:hAnsi="Times New Roman" w:cs="Times New Roman"/>
          <w:sz w:val="24"/>
          <w:szCs w:val="24"/>
        </w:rPr>
        <w:t>5</w:t>
      </w:r>
      <w:r w:rsidRPr="00F724C6">
        <w:rPr>
          <w:rFonts w:ascii="Times New Roman" w:hAnsi="Times New Roman" w:cs="Times New Roman"/>
          <w:sz w:val="24"/>
          <w:szCs w:val="24"/>
        </w:rPr>
        <w:t xml:space="preserve">, kterou v nejjednodušším případě jediné dnešní </w:t>
      </w:r>
      <w:r>
        <w:rPr>
          <w:rFonts w:ascii="Times New Roman" w:hAnsi="Times New Roman" w:cs="Times New Roman"/>
          <w:sz w:val="24"/>
          <w:szCs w:val="24"/>
        </w:rPr>
        <w:t>investiční</w:t>
      </w:r>
      <w:r w:rsidRPr="00F724C6">
        <w:rPr>
          <w:rFonts w:ascii="Times New Roman" w:hAnsi="Times New Roman" w:cs="Times New Roman"/>
          <w:sz w:val="24"/>
          <w:szCs w:val="24"/>
        </w:rPr>
        <w:t xml:space="preserve"> platby </w:t>
      </w:r>
      <w:r>
        <w:rPr>
          <w:rFonts w:ascii="Times New Roman" w:hAnsi="Times New Roman" w:cs="Times New Roman"/>
          <w:sz w:val="24"/>
          <w:szCs w:val="24"/>
        </w:rPr>
        <w:t>(-</w:t>
      </w:r>
      <w:r w:rsidRPr="00374B17">
        <w:rPr>
          <w:rFonts w:ascii="Times New Roman" w:hAnsi="Times New Roman" w:cs="Times New Roman"/>
          <w:i/>
          <w:iCs/>
          <w:sz w:val="24"/>
          <w:szCs w:val="24"/>
        </w:rPr>
        <w:t>C</w:t>
      </w:r>
      <w:r w:rsidRPr="00374B17">
        <w:rPr>
          <w:rFonts w:ascii="Times New Roman" w:hAnsi="Times New Roman" w:cs="Times New Roman"/>
          <w:sz w:val="24"/>
          <w:szCs w:val="24"/>
          <w:vertAlign w:val="subscript"/>
        </w:rPr>
        <w:t>0</w:t>
      </w:r>
      <w:r>
        <w:rPr>
          <w:rFonts w:ascii="Times New Roman" w:hAnsi="Times New Roman" w:cs="Times New Roman"/>
          <w:sz w:val="24"/>
          <w:szCs w:val="24"/>
        </w:rPr>
        <w:t xml:space="preserve">) </w:t>
      </w:r>
      <w:r w:rsidRPr="00F724C6">
        <w:rPr>
          <w:rFonts w:ascii="Times New Roman" w:hAnsi="Times New Roman" w:cs="Times New Roman"/>
          <w:sz w:val="24"/>
          <w:szCs w:val="24"/>
        </w:rPr>
        <w:t xml:space="preserve">a </w:t>
      </w:r>
      <w:r w:rsidRPr="00F724C6">
        <w:rPr>
          <w:rFonts w:ascii="Times New Roman" w:hAnsi="Times New Roman" w:cs="Times New Roman"/>
          <w:i/>
          <w:sz w:val="24"/>
          <w:szCs w:val="24"/>
        </w:rPr>
        <w:t>n</w:t>
      </w:r>
      <w:r w:rsidRPr="00F724C6">
        <w:rPr>
          <w:rFonts w:ascii="Times New Roman" w:hAnsi="Times New Roman" w:cs="Times New Roman"/>
          <w:sz w:val="24"/>
          <w:szCs w:val="24"/>
        </w:rPr>
        <w:t xml:space="preserve"> budoucích výplat </w:t>
      </w:r>
      <w:r w:rsidRPr="00374B17">
        <w:rPr>
          <w:rFonts w:ascii="Times New Roman" w:hAnsi="Times New Roman" w:cs="Times New Roman"/>
          <w:i/>
          <w:iCs/>
          <w:sz w:val="24"/>
          <w:szCs w:val="24"/>
        </w:rPr>
        <w:t>CF</w:t>
      </w:r>
      <w:r>
        <w:rPr>
          <w:rFonts w:ascii="Times New Roman" w:hAnsi="Times New Roman" w:cs="Times New Roman"/>
          <w:sz w:val="24"/>
          <w:szCs w:val="24"/>
        </w:rPr>
        <w:t xml:space="preserve"> </w:t>
      </w:r>
      <w:r w:rsidRPr="00F724C6">
        <w:rPr>
          <w:rFonts w:ascii="Times New Roman" w:hAnsi="Times New Roman" w:cs="Times New Roman"/>
          <w:sz w:val="24"/>
          <w:szCs w:val="24"/>
        </w:rPr>
        <w:t xml:space="preserve">vypočteme podle </w:t>
      </w:r>
      <w:r>
        <w:rPr>
          <w:rFonts w:ascii="Times New Roman" w:hAnsi="Times New Roman" w:cs="Times New Roman"/>
          <w:sz w:val="24"/>
          <w:szCs w:val="24"/>
        </w:rPr>
        <w:t xml:space="preserve">tohoto </w:t>
      </w:r>
      <w:r w:rsidRPr="00F724C6">
        <w:rPr>
          <w:rFonts w:ascii="Times New Roman" w:hAnsi="Times New Roman" w:cs="Times New Roman"/>
          <w:sz w:val="24"/>
          <w:szCs w:val="24"/>
        </w:rPr>
        <w:t>vzorce:</w:t>
      </w:r>
    </w:p>
    <w:p w14:paraId="75362F5C" w14:textId="77777777" w:rsidR="00662708" w:rsidRPr="00F724C6" w:rsidRDefault="00662708" w:rsidP="00662708">
      <w:pPr>
        <w:spacing w:after="120" w:line="360" w:lineRule="auto"/>
        <w:ind w:firstLine="284"/>
        <w:jc w:val="both"/>
        <w:rPr>
          <w:rFonts w:ascii="Times New Roman" w:hAnsi="Times New Roman" w:cs="Times New Roman"/>
          <w:sz w:val="24"/>
          <w:szCs w:val="24"/>
        </w:rPr>
      </w:pPr>
      <w:r w:rsidRPr="00F724C6">
        <w:rPr>
          <w:rFonts w:ascii="Times New Roman" w:hAnsi="Times New Roman" w:cs="Times New Roman"/>
          <w:position w:val="-28"/>
          <w:sz w:val="24"/>
          <w:szCs w:val="24"/>
        </w:rPr>
        <w:object w:dxaOrig="6500" w:dyaOrig="680" w14:anchorId="379ECF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36.75pt" o:ole="">
            <v:imagedata r:id="rId6" o:title=""/>
          </v:shape>
          <o:OLEObject Type="Embed" ProgID="Equation.3" ShapeID="_x0000_i1025" DrawAspect="Content" ObjectID="_1719127271" r:id="rId7"/>
        </w:object>
      </w:r>
      <w:r w:rsidRPr="00F724C6">
        <w:rPr>
          <w:rFonts w:ascii="Times New Roman" w:hAnsi="Times New Roman" w:cs="Times New Roman"/>
          <w:sz w:val="24"/>
          <w:szCs w:val="24"/>
        </w:rPr>
        <w:t>,</w:t>
      </w:r>
    </w:p>
    <w:p w14:paraId="3AC3C313" w14:textId="77777777" w:rsidR="00662708" w:rsidRPr="00F724C6" w:rsidRDefault="00662708" w:rsidP="00662708">
      <w:pPr>
        <w:spacing w:after="120" w:line="360" w:lineRule="auto"/>
        <w:ind w:firstLine="284"/>
        <w:jc w:val="both"/>
        <w:rPr>
          <w:rFonts w:ascii="Times New Roman" w:hAnsi="Times New Roman" w:cs="Times New Roman"/>
          <w:sz w:val="24"/>
          <w:szCs w:val="24"/>
        </w:rPr>
      </w:pPr>
      <w:r w:rsidRPr="00F724C6">
        <w:rPr>
          <w:rFonts w:ascii="Times New Roman" w:hAnsi="Times New Roman" w:cs="Times New Roman"/>
          <w:sz w:val="24"/>
          <w:szCs w:val="24"/>
        </w:rPr>
        <w:t xml:space="preserve">kde: </w:t>
      </w:r>
      <w:r w:rsidRPr="00F724C6">
        <w:rPr>
          <w:rFonts w:ascii="Times New Roman" w:hAnsi="Times New Roman" w:cs="Times New Roman"/>
          <w:i/>
          <w:sz w:val="24"/>
          <w:szCs w:val="24"/>
        </w:rPr>
        <w:t>C</w:t>
      </w:r>
      <w:r w:rsidRPr="00374B17">
        <w:rPr>
          <w:rFonts w:ascii="Times New Roman" w:hAnsi="Times New Roman" w:cs="Times New Roman"/>
          <w:iCs/>
          <w:sz w:val="24"/>
          <w:szCs w:val="24"/>
          <w:vertAlign w:val="subscript"/>
        </w:rPr>
        <w:t>0</w:t>
      </w:r>
      <w:r w:rsidRPr="00F724C6">
        <w:rPr>
          <w:rFonts w:ascii="Times New Roman" w:hAnsi="Times New Roman" w:cs="Times New Roman"/>
          <w:sz w:val="24"/>
          <w:szCs w:val="24"/>
        </w:rPr>
        <w:t xml:space="preserve"> </w:t>
      </w:r>
      <w:r>
        <w:rPr>
          <w:rFonts w:ascii="Times New Roman" w:hAnsi="Times New Roman" w:cs="Times New Roman"/>
          <w:sz w:val="24"/>
          <w:szCs w:val="24"/>
        </w:rPr>
        <w:t>je</w:t>
      </w:r>
      <w:r w:rsidRPr="00F724C6">
        <w:rPr>
          <w:rFonts w:ascii="Times New Roman" w:hAnsi="Times New Roman" w:cs="Times New Roman"/>
          <w:sz w:val="24"/>
          <w:szCs w:val="24"/>
        </w:rPr>
        <w:t xml:space="preserve"> počáteční investice, </w:t>
      </w:r>
      <w:proofErr w:type="spellStart"/>
      <w:r w:rsidRPr="00F724C6">
        <w:rPr>
          <w:rFonts w:ascii="Times New Roman" w:hAnsi="Times New Roman" w:cs="Times New Roman"/>
          <w:i/>
          <w:sz w:val="24"/>
          <w:szCs w:val="24"/>
        </w:rPr>
        <w:t>CF</w:t>
      </w:r>
      <w:r w:rsidRPr="00F724C6">
        <w:rPr>
          <w:rFonts w:ascii="Times New Roman" w:hAnsi="Times New Roman" w:cs="Times New Roman"/>
          <w:i/>
          <w:sz w:val="24"/>
          <w:szCs w:val="24"/>
          <w:vertAlign w:val="subscript"/>
        </w:rPr>
        <w:t>i</w:t>
      </w:r>
      <w:proofErr w:type="spellEnd"/>
      <w:r w:rsidRPr="00F724C6">
        <w:rPr>
          <w:rFonts w:ascii="Times New Roman" w:hAnsi="Times New Roman" w:cs="Times New Roman"/>
          <w:sz w:val="24"/>
          <w:szCs w:val="24"/>
        </w:rPr>
        <w:t xml:space="preserve"> </w:t>
      </w:r>
      <w:r>
        <w:rPr>
          <w:rFonts w:ascii="Times New Roman" w:hAnsi="Times New Roman" w:cs="Times New Roman"/>
          <w:sz w:val="24"/>
          <w:szCs w:val="24"/>
        </w:rPr>
        <w:t>jsou</w:t>
      </w:r>
      <w:r w:rsidRPr="00F724C6">
        <w:rPr>
          <w:rFonts w:ascii="Times New Roman" w:hAnsi="Times New Roman" w:cs="Times New Roman"/>
          <w:sz w:val="24"/>
          <w:szCs w:val="24"/>
        </w:rPr>
        <w:t xml:space="preserve"> čisté peněžní toky v jednotlivých letech </w:t>
      </w:r>
      <w:r w:rsidRPr="00F724C6">
        <w:rPr>
          <w:rFonts w:ascii="Times New Roman" w:hAnsi="Times New Roman" w:cs="Times New Roman"/>
          <w:i/>
          <w:sz w:val="24"/>
          <w:szCs w:val="24"/>
        </w:rPr>
        <w:t xml:space="preserve">i </w:t>
      </w:r>
      <w:r w:rsidRPr="00F724C6">
        <w:rPr>
          <w:rFonts w:ascii="Times New Roman" w:hAnsi="Times New Roman" w:cs="Times New Roman"/>
          <w:sz w:val="24"/>
          <w:szCs w:val="24"/>
        </w:rPr>
        <w:t xml:space="preserve">= </w:t>
      </w:r>
      <w:proofErr w:type="gramStart"/>
      <w:r w:rsidRPr="00F724C6">
        <w:rPr>
          <w:rFonts w:ascii="Times New Roman" w:hAnsi="Times New Roman" w:cs="Times New Roman"/>
          <w:sz w:val="24"/>
          <w:szCs w:val="24"/>
        </w:rPr>
        <w:t>1,…</w:t>
      </w:r>
      <w:proofErr w:type="gramEnd"/>
      <w:r w:rsidRPr="00F724C6">
        <w:rPr>
          <w:rFonts w:ascii="Times New Roman" w:hAnsi="Times New Roman" w:cs="Times New Roman"/>
          <w:sz w:val="24"/>
          <w:szCs w:val="24"/>
        </w:rPr>
        <w:t xml:space="preserve">, </w:t>
      </w:r>
      <w:r w:rsidRPr="00F724C6">
        <w:rPr>
          <w:rFonts w:ascii="Times New Roman" w:hAnsi="Times New Roman" w:cs="Times New Roman"/>
          <w:i/>
          <w:sz w:val="24"/>
          <w:szCs w:val="24"/>
        </w:rPr>
        <w:t>n</w:t>
      </w:r>
      <w:r w:rsidRPr="00F724C6">
        <w:rPr>
          <w:rFonts w:ascii="Times New Roman" w:hAnsi="Times New Roman" w:cs="Times New Roman"/>
          <w:sz w:val="24"/>
          <w:szCs w:val="24"/>
        </w:rPr>
        <w:t xml:space="preserve">,               </w:t>
      </w:r>
      <w:r w:rsidRPr="00F724C6">
        <w:rPr>
          <w:rFonts w:ascii="Times New Roman" w:hAnsi="Times New Roman" w:cs="Times New Roman"/>
          <w:i/>
          <w:sz w:val="24"/>
          <w:szCs w:val="24"/>
        </w:rPr>
        <w:t>r</w:t>
      </w:r>
      <w:r w:rsidRPr="00F724C6">
        <w:rPr>
          <w:rFonts w:ascii="Times New Roman" w:hAnsi="Times New Roman" w:cs="Times New Roman"/>
          <w:sz w:val="24"/>
          <w:szCs w:val="24"/>
        </w:rPr>
        <w:t xml:space="preserve"> </w:t>
      </w:r>
      <w:r>
        <w:rPr>
          <w:rFonts w:ascii="Times New Roman" w:hAnsi="Times New Roman" w:cs="Times New Roman"/>
          <w:sz w:val="24"/>
          <w:szCs w:val="24"/>
        </w:rPr>
        <w:t>je</w:t>
      </w:r>
      <w:r w:rsidRPr="00F724C6">
        <w:rPr>
          <w:rFonts w:ascii="Times New Roman" w:hAnsi="Times New Roman" w:cs="Times New Roman"/>
          <w:sz w:val="24"/>
          <w:szCs w:val="24"/>
        </w:rPr>
        <w:t xml:space="preserve"> diskontní míra</w:t>
      </w:r>
      <w:r>
        <w:rPr>
          <w:rFonts w:ascii="Times New Roman" w:hAnsi="Times New Roman" w:cs="Times New Roman"/>
          <w:sz w:val="24"/>
          <w:szCs w:val="24"/>
        </w:rPr>
        <w:t xml:space="preserve"> a</w:t>
      </w:r>
      <w:r w:rsidRPr="00F724C6">
        <w:rPr>
          <w:rFonts w:ascii="Times New Roman" w:hAnsi="Times New Roman" w:cs="Times New Roman"/>
          <w:sz w:val="24"/>
          <w:szCs w:val="24"/>
        </w:rPr>
        <w:t xml:space="preserve"> </w:t>
      </w:r>
      <w:r w:rsidRPr="00F724C6">
        <w:rPr>
          <w:rFonts w:ascii="Times New Roman" w:hAnsi="Times New Roman" w:cs="Times New Roman"/>
          <w:i/>
          <w:sz w:val="24"/>
          <w:szCs w:val="24"/>
        </w:rPr>
        <w:t>n</w:t>
      </w:r>
      <w:r w:rsidRPr="00F724C6">
        <w:rPr>
          <w:rFonts w:ascii="Times New Roman" w:hAnsi="Times New Roman" w:cs="Times New Roman"/>
          <w:sz w:val="24"/>
          <w:szCs w:val="24"/>
        </w:rPr>
        <w:t xml:space="preserve"> </w:t>
      </w:r>
      <w:r>
        <w:rPr>
          <w:rFonts w:ascii="Times New Roman" w:hAnsi="Times New Roman" w:cs="Times New Roman"/>
          <w:sz w:val="24"/>
          <w:szCs w:val="24"/>
        </w:rPr>
        <w:t>je</w:t>
      </w:r>
      <w:r w:rsidRPr="00F724C6">
        <w:rPr>
          <w:rFonts w:ascii="Times New Roman" w:hAnsi="Times New Roman" w:cs="Times New Roman"/>
          <w:sz w:val="24"/>
          <w:szCs w:val="24"/>
        </w:rPr>
        <w:t xml:space="preserve"> doba životnosti projektu.</w:t>
      </w:r>
    </w:p>
    <w:p w14:paraId="031F840D" w14:textId="77777777" w:rsidR="00662708" w:rsidRPr="00F724C6" w:rsidRDefault="00662708" w:rsidP="00662708">
      <w:pPr>
        <w:spacing w:after="120" w:line="360" w:lineRule="auto"/>
        <w:ind w:firstLine="284"/>
        <w:jc w:val="both"/>
        <w:rPr>
          <w:rFonts w:ascii="Times New Roman" w:hAnsi="Times New Roman" w:cs="Times New Roman"/>
          <w:b/>
          <w:sz w:val="24"/>
          <w:szCs w:val="24"/>
        </w:rPr>
      </w:pPr>
      <w:r w:rsidRPr="00F724C6">
        <w:rPr>
          <w:rFonts w:ascii="Times New Roman" w:hAnsi="Times New Roman" w:cs="Times New Roman"/>
          <w:b/>
          <w:sz w:val="24"/>
          <w:szCs w:val="24"/>
        </w:rPr>
        <w:t>Obr</w:t>
      </w:r>
      <w:r>
        <w:rPr>
          <w:rFonts w:ascii="Times New Roman" w:hAnsi="Times New Roman" w:cs="Times New Roman"/>
          <w:b/>
          <w:sz w:val="24"/>
          <w:szCs w:val="24"/>
        </w:rPr>
        <w:t>ázek 5.</w:t>
      </w:r>
      <w:r w:rsidRPr="00F724C6">
        <w:rPr>
          <w:rFonts w:ascii="Times New Roman" w:hAnsi="Times New Roman" w:cs="Times New Roman"/>
          <w:b/>
          <w:sz w:val="24"/>
          <w:szCs w:val="24"/>
        </w:rPr>
        <w:t xml:space="preserve"> Schéma výpočtu NPV při jednorázové investici na počátku období a diskontní míře 10 % p. a. </w:t>
      </w:r>
    </w:p>
    <w:p w14:paraId="6B199986" w14:textId="77777777" w:rsidR="00662708" w:rsidRPr="00F724C6" w:rsidRDefault="00662708" w:rsidP="00662708">
      <w:pPr>
        <w:spacing w:after="120" w:line="360" w:lineRule="auto"/>
        <w:ind w:firstLine="284"/>
        <w:rPr>
          <w:rFonts w:ascii="Times New Roman" w:hAnsi="Times New Roman" w:cs="Times New Roman"/>
          <w:sz w:val="24"/>
          <w:szCs w:val="24"/>
        </w:rPr>
      </w:pPr>
      <w:r w:rsidRPr="00F724C6">
        <w:rPr>
          <w:rFonts w:ascii="Times New Roman" w:hAnsi="Times New Roman" w:cs="Times New Roman"/>
          <w:noProof/>
          <w:sz w:val="24"/>
          <w:szCs w:val="24"/>
          <w:lang w:eastAsia="cs-CZ"/>
        </w:rPr>
        <w:drawing>
          <wp:inline distT="0" distB="0" distL="0" distR="0" wp14:anchorId="1CB4DA40" wp14:editId="612585F1">
            <wp:extent cx="4336415" cy="2950932"/>
            <wp:effectExtent l="0" t="0" r="6985" b="1905"/>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8489" cy="2959148"/>
                    </a:xfrm>
                    <a:prstGeom prst="rect">
                      <a:avLst/>
                    </a:prstGeom>
                    <a:noFill/>
                    <a:ln>
                      <a:noFill/>
                    </a:ln>
                  </pic:spPr>
                </pic:pic>
              </a:graphicData>
            </a:graphic>
          </wp:inline>
        </w:drawing>
      </w:r>
    </w:p>
    <w:p w14:paraId="5023895D" w14:textId="77777777" w:rsidR="00662708" w:rsidRPr="00F724C6" w:rsidRDefault="00662708" w:rsidP="00662708">
      <w:pPr>
        <w:spacing w:after="120" w:line="360" w:lineRule="auto"/>
        <w:ind w:firstLine="284"/>
        <w:jc w:val="both"/>
        <w:rPr>
          <w:rFonts w:ascii="Times New Roman" w:hAnsi="Times New Roman" w:cs="Times New Roman"/>
          <w:sz w:val="24"/>
          <w:szCs w:val="24"/>
        </w:rPr>
      </w:pPr>
      <w:r w:rsidRPr="00F724C6">
        <w:rPr>
          <w:rFonts w:ascii="Times New Roman" w:hAnsi="Times New Roman" w:cs="Times New Roman"/>
          <w:sz w:val="24"/>
          <w:szCs w:val="24"/>
        </w:rPr>
        <w:t>Zdroj: vlastní zpracování</w:t>
      </w:r>
    </w:p>
    <w:p w14:paraId="7E59A3E6" w14:textId="77777777" w:rsidR="00662708" w:rsidRPr="00F724C6" w:rsidRDefault="00662708" w:rsidP="00662708">
      <w:pPr>
        <w:spacing w:after="120" w:line="360" w:lineRule="auto"/>
        <w:ind w:firstLine="284"/>
        <w:jc w:val="both"/>
        <w:rPr>
          <w:rFonts w:ascii="Times New Roman" w:hAnsi="Times New Roman" w:cs="Times New Roman"/>
          <w:sz w:val="24"/>
          <w:szCs w:val="24"/>
        </w:rPr>
      </w:pPr>
      <w:r w:rsidRPr="00F724C6">
        <w:rPr>
          <w:rFonts w:ascii="Times New Roman" w:hAnsi="Times New Roman" w:cs="Times New Roman"/>
          <w:sz w:val="24"/>
          <w:szCs w:val="24"/>
        </w:rPr>
        <w:t>Výpočet NPV vyžaduje:</w:t>
      </w:r>
    </w:p>
    <w:p w14:paraId="4FF1BD11" w14:textId="77777777" w:rsidR="00662708" w:rsidRDefault="00662708" w:rsidP="00662708">
      <w:pPr>
        <w:pStyle w:val="Odstavecseseznamem"/>
        <w:numPr>
          <w:ilvl w:val="0"/>
          <w:numId w:val="5"/>
        </w:numPr>
        <w:spacing w:after="120" w:line="360" w:lineRule="auto"/>
        <w:jc w:val="both"/>
        <w:rPr>
          <w:rFonts w:ascii="Times New Roman" w:hAnsi="Times New Roman" w:cs="Times New Roman"/>
          <w:sz w:val="24"/>
          <w:szCs w:val="24"/>
        </w:rPr>
      </w:pPr>
      <w:r w:rsidRPr="00374B17">
        <w:rPr>
          <w:rFonts w:ascii="Times New Roman" w:hAnsi="Times New Roman" w:cs="Times New Roman"/>
          <w:sz w:val="24"/>
          <w:szCs w:val="24"/>
        </w:rPr>
        <w:t xml:space="preserve">stanovit výši počáteční investice </w:t>
      </w:r>
      <w:r w:rsidRPr="00374B17">
        <w:rPr>
          <w:rFonts w:ascii="Times New Roman" w:hAnsi="Times New Roman" w:cs="Times New Roman"/>
          <w:i/>
          <w:sz w:val="24"/>
          <w:szCs w:val="24"/>
        </w:rPr>
        <w:t>C</w:t>
      </w:r>
      <w:r w:rsidRPr="00374B17">
        <w:rPr>
          <w:rFonts w:ascii="Times New Roman" w:hAnsi="Times New Roman" w:cs="Times New Roman"/>
          <w:iCs/>
          <w:sz w:val="24"/>
          <w:szCs w:val="24"/>
          <w:vertAlign w:val="subscript"/>
        </w:rPr>
        <w:t>0</w:t>
      </w:r>
      <w:r w:rsidRPr="00374B17">
        <w:rPr>
          <w:rFonts w:ascii="Times New Roman" w:hAnsi="Times New Roman" w:cs="Times New Roman"/>
          <w:sz w:val="24"/>
          <w:szCs w:val="24"/>
        </w:rPr>
        <w:t>,</w:t>
      </w:r>
    </w:p>
    <w:p w14:paraId="07EF219A" w14:textId="77777777" w:rsidR="00662708" w:rsidRDefault="00662708" w:rsidP="00662708">
      <w:pPr>
        <w:pStyle w:val="Odstavecseseznamem"/>
        <w:numPr>
          <w:ilvl w:val="0"/>
          <w:numId w:val="5"/>
        </w:numPr>
        <w:spacing w:after="120" w:line="360" w:lineRule="auto"/>
        <w:jc w:val="both"/>
        <w:rPr>
          <w:rFonts w:ascii="Times New Roman" w:hAnsi="Times New Roman" w:cs="Times New Roman"/>
          <w:sz w:val="24"/>
          <w:szCs w:val="24"/>
        </w:rPr>
      </w:pPr>
      <w:r w:rsidRPr="00374B17">
        <w:rPr>
          <w:rFonts w:ascii="Times New Roman" w:hAnsi="Times New Roman" w:cs="Times New Roman"/>
          <w:sz w:val="24"/>
          <w:szCs w:val="24"/>
        </w:rPr>
        <w:t xml:space="preserve">určit období životnosti investice </w:t>
      </w:r>
      <w:r w:rsidRPr="00374B17">
        <w:rPr>
          <w:rFonts w:ascii="Times New Roman" w:hAnsi="Times New Roman" w:cs="Times New Roman"/>
          <w:i/>
          <w:sz w:val="24"/>
          <w:szCs w:val="24"/>
        </w:rPr>
        <w:t>n</w:t>
      </w:r>
      <w:r w:rsidRPr="00374B17">
        <w:rPr>
          <w:rFonts w:ascii="Times New Roman" w:hAnsi="Times New Roman" w:cs="Times New Roman"/>
          <w:sz w:val="24"/>
          <w:szCs w:val="24"/>
        </w:rPr>
        <w:t>, po které budou plynout čisté peněžní toky generované investicí,</w:t>
      </w:r>
    </w:p>
    <w:p w14:paraId="7BE8BE0C" w14:textId="77777777" w:rsidR="00662708" w:rsidRDefault="00662708" w:rsidP="00662708">
      <w:pPr>
        <w:pStyle w:val="Odstavecseseznamem"/>
        <w:numPr>
          <w:ilvl w:val="0"/>
          <w:numId w:val="5"/>
        </w:numPr>
        <w:spacing w:after="120" w:line="360" w:lineRule="auto"/>
        <w:jc w:val="both"/>
        <w:rPr>
          <w:rFonts w:ascii="Times New Roman" w:hAnsi="Times New Roman" w:cs="Times New Roman"/>
          <w:sz w:val="24"/>
          <w:szCs w:val="24"/>
        </w:rPr>
      </w:pPr>
      <w:r w:rsidRPr="00374B17">
        <w:rPr>
          <w:rFonts w:ascii="Times New Roman" w:hAnsi="Times New Roman" w:cs="Times New Roman"/>
          <w:sz w:val="24"/>
          <w:szCs w:val="24"/>
        </w:rPr>
        <w:t xml:space="preserve">prognózovat </w:t>
      </w:r>
      <w:r>
        <w:rPr>
          <w:rFonts w:ascii="Times New Roman" w:hAnsi="Times New Roman" w:cs="Times New Roman"/>
          <w:sz w:val="24"/>
          <w:szCs w:val="24"/>
        </w:rPr>
        <w:t>peněžní toky</w:t>
      </w:r>
      <w:r w:rsidRPr="00374B17">
        <w:rPr>
          <w:rFonts w:ascii="Times New Roman" w:hAnsi="Times New Roman" w:cs="Times New Roman"/>
          <w:sz w:val="24"/>
          <w:szCs w:val="24"/>
        </w:rPr>
        <w:t xml:space="preserve"> z investice v každém roce období životnosti investice,</w:t>
      </w:r>
    </w:p>
    <w:p w14:paraId="2ACFDFE7" w14:textId="77777777" w:rsidR="00662708" w:rsidRDefault="00662708" w:rsidP="00662708">
      <w:pPr>
        <w:pStyle w:val="Odstavecseseznamem"/>
        <w:numPr>
          <w:ilvl w:val="0"/>
          <w:numId w:val="5"/>
        </w:numPr>
        <w:spacing w:after="120" w:line="360" w:lineRule="auto"/>
        <w:jc w:val="both"/>
        <w:rPr>
          <w:rFonts w:ascii="Times New Roman" w:hAnsi="Times New Roman" w:cs="Times New Roman"/>
          <w:sz w:val="24"/>
          <w:szCs w:val="24"/>
        </w:rPr>
      </w:pPr>
      <w:r w:rsidRPr="00374B17">
        <w:rPr>
          <w:rFonts w:ascii="Times New Roman" w:hAnsi="Times New Roman" w:cs="Times New Roman"/>
          <w:sz w:val="24"/>
          <w:szCs w:val="24"/>
        </w:rPr>
        <w:t xml:space="preserve">stanovit alternativní náklady kapitálu </w:t>
      </w:r>
      <w:r w:rsidRPr="00374B17">
        <w:rPr>
          <w:rFonts w:ascii="Times New Roman" w:hAnsi="Times New Roman" w:cs="Times New Roman"/>
          <w:i/>
          <w:sz w:val="24"/>
          <w:szCs w:val="24"/>
        </w:rPr>
        <w:t>r</w:t>
      </w:r>
      <w:r w:rsidRPr="00374B17">
        <w:rPr>
          <w:rFonts w:ascii="Times New Roman" w:hAnsi="Times New Roman" w:cs="Times New Roman"/>
          <w:sz w:val="24"/>
          <w:szCs w:val="24"/>
        </w:rPr>
        <w:t xml:space="preserve"> jako vhodnou diskontní sazbu investičního projektu,</w:t>
      </w:r>
    </w:p>
    <w:p w14:paraId="03CD590B" w14:textId="77777777" w:rsidR="00662708" w:rsidRDefault="00662708" w:rsidP="00662708">
      <w:pPr>
        <w:pStyle w:val="Odstavecseseznamem"/>
        <w:numPr>
          <w:ilvl w:val="0"/>
          <w:numId w:val="5"/>
        </w:numPr>
        <w:spacing w:after="120" w:line="360" w:lineRule="auto"/>
        <w:jc w:val="both"/>
        <w:rPr>
          <w:rFonts w:ascii="Times New Roman" w:hAnsi="Times New Roman" w:cs="Times New Roman"/>
          <w:sz w:val="24"/>
          <w:szCs w:val="24"/>
        </w:rPr>
      </w:pPr>
      <w:r w:rsidRPr="00374B17">
        <w:rPr>
          <w:rFonts w:ascii="Times New Roman" w:hAnsi="Times New Roman" w:cs="Times New Roman"/>
          <w:sz w:val="24"/>
          <w:szCs w:val="24"/>
        </w:rPr>
        <w:t xml:space="preserve">pomocí diskontování transformovat očekávané cash </w:t>
      </w:r>
      <w:proofErr w:type="spellStart"/>
      <w:r w:rsidRPr="00374B17">
        <w:rPr>
          <w:rFonts w:ascii="Times New Roman" w:hAnsi="Times New Roman" w:cs="Times New Roman"/>
          <w:sz w:val="24"/>
          <w:szCs w:val="24"/>
        </w:rPr>
        <w:t>flow</w:t>
      </w:r>
      <w:proofErr w:type="spellEnd"/>
      <w:r w:rsidRPr="00374B17">
        <w:rPr>
          <w:rFonts w:ascii="Times New Roman" w:hAnsi="Times New Roman" w:cs="Times New Roman"/>
          <w:sz w:val="24"/>
          <w:szCs w:val="24"/>
        </w:rPr>
        <w:t xml:space="preserve"> v jednotlivých letech do současnosti (tj. do okamžiku 0),</w:t>
      </w:r>
    </w:p>
    <w:p w14:paraId="77DDB058" w14:textId="77777777" w:rsidR="00662708" w:rsidRDefault="00662708" w:rsidP="00662708">
      <w:pPr>
        <w:pStyle w:val="Odstavecseseznamem"/>
        <w:numPr>
          <w:ilvl w:val="0"/>
          <w:numId w:val="5"/>
        </w:numPr>
        <w:spacing w:after="120" w:line="360" w:lineRule="auto"/>
        <w:jc w:val="both"/>
        <w:rPr>
          <w:rFonts w:ascii="Times New Roman" w:hAnsi="Times New Roman" w:cs="Times New Roman"/>
          <w:sz w:val="24"/>
          <w:szCs w:val="24"/>
        </w:rPr>
      </w:pPr>
      <w:r w:rsidRPr="00374B17">
        <w:rPr>
          <w:rFonts w:ascii="Times New Roman" w:hAnsi="Times New Roman" w:cs="Times New Roman"/>
          <w:sz w:val="24"/>
          <w:szCs w:val="24"/>
        </w:rPr>
        <w:t xml:space="preserve">sečíst diskontované cash </w:t>
      </w:r>
      <w:proofErr w:type="spellStart"/>
      <w:r w:rsidRPr="00374B17">
        <w:rPr>
          <w:rFonts w:ascii="Times New Roman" w:hAnsi="Times New Roman" w:cs="Times New Roman"/>
          <w:sz w:val="24"/>
          <w:szCs w:val="24"/>
        </w:rPr>
        <w:t>flow</w:t>
      </w:r>
      <w:proofErr w:type="spellEnd"/>
      <w:r w:rsidRPr="00374B17">
        <w:rPr>
          <w:rFonts w:ascii="Times New Roman" w:hAnsi="Times New Roman" w:cs="Times New Roman"/>
          <w:sz w:val="24"/>
          <w:szCs w:val="24"/>
        </w:rPr>
        <w:t xml:space="preserve"> a tuto sumu ponížit o počáteční investici,</w:t>
      </w:r>
    </w:p>
    <w:p w14:paraId="0EC30666" w14:textId="77777777" w:rsidR="00662708" w:rsidRPr="00374B17" w:rsidRDefault="00662708" w:rsidP="00662708">
      <w:pPr>
        <w:pStyle w:val="Odstavecseseznamem"/>
        <w:numPr>
          <w:ilvl w:val="0"/>
          <w:numId w:val="5"/>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Pravidlo </w:t>
      </w:r>
      <w:r w:rsidRPr="00374B17">
        <w:rPr>
          <w:rFonts w:ascii="Times New Roman" w:hAnsi="Times New Roman" w:cs="Times New Roman"/>
          <w:sz w:val="24"/>
          <w:szCs w:val="24"/>
        </w:rPr>
        <w:t>rozhodnutí o přijetí či nepřijetí investice</w:t>
      </w:r>
      <w:r>
        <w:rPr>
          <w:rFonts w:ascii="Times New Roman" w:hAnsi="Times New Roman" w:cs="Times New Roman"/>
          <w:sz w:val="24"/>
          <w:szCs w:val="24"/>
        </w:rPr>
        <w:t xml:space="preserve"> je následující:</w:t>
      </w:r>
      <w:r w:rsidRPr="00374B17">
        <w:rPr>
          <w:rFonts w:ascii="Times New Roman" w:hAnsi="Times New Roman" w:cs="Times New Roman"/>
          <w:sz w:val="24"/>
          <w:szCs w:val="24"/>
        </w:rPr>
        <w:t xml:space="preserve"> pokud </w:t>
      </w:r>
      <w:proofErr w:type="gramStart"/>
      <w:r w:rsidRPr="00DD4331">
        <w:rPr>
          <w:rFonts w:ascii="Times New Roman" w:hAnsi="Times New Roman" w:cs="Times New Roman"/>
          <w:b/>
          <w:iCs/>
          <w:sz w:val="24"/>
          <w:szCs w:val="24"/>
        </w:rPr>
        <w:t>NPV</w:t>
      </w:r>
      <w:r>
        <w:rPr>
          <w:rFonts w:ascii="Times New Roman" w:hAnsi="Times New Roman" w:cs="Times New Roman"/>
          <w:b/>
          <w:sz w:val="24"/>
          <w:szCs w:val="24"/>
        </w:rPr>
        <w:t xml:space="preserve"> </w:t>
      </w:r>
      <w:r w:rsidRPr="00374B17">
        <w:rPr>
          <w:rFonts w:ascii="Times New Roman" w:hAnsi="Times New Roman" w:cs="Times New Roman"/>
          <w:b/>
          <w:sz w:val="24"/>
          <w:szCs w:val="24"/>
        </w:rPr>
        <w:t>&gt;</w:t>
      </w:r>
      <w:proofErr w:type="gramEnd"/>
      <w:r w:rsidRPr="00374B17">
        <w:rPr>
          <w:rFonts w:ascii="Times New Roman" w:hAnsi="Times New Roman" w:cs="Times New Roman"/>
          <w:b/>
          <w:sz w:val="24"/>
          <w:szCs w:val="24"/>
        </w:rPr>
        <w:t xml:space="preserve"> 0</w:t>
      </w:r>
      <w:r w:rsidRPr="00374B17">
        <w:rPr>
          <w:rFonts w:ascii="Times New Roman" w:hAnsi="Times New Roman" w:cs="Times New Roman"/>
          <w:sz w:val="24"/>
          <w:szCs w:val="24"/>
        </w:rPr>
        <w:t xml:space="preserve">, projekt je pro podnik přijatelný (zaručuje požadovanou míru výnosu a zvyšuje tržní hodnotu podniku), </w:t>
      </w:r>
      <w:r w:rsidRPr="00DD4331">
        <w:rPr>
          <w:rFonts w:ascii="Times New Roman" w:hAnsi="Times New Roman" w:cs="Times New Roman"/>
          <w:b/>
          <w:iCs/>
          <w:sz w:val="24"/>
          <w:szCs w:val="24"/>
        </w:rPr>
        <w:t>NPV</w:t>
      </w:r>
      <w:r w:rsidRPr="00374B17">
        <w:rPr>
          <w:rFonts w:ascii="Times New Roman" w:hAnsi="Times New Roman" w:cs="Times New Roman"/>
          <w:b/>
          <w:sz w:val="24"/>
          <w:szCs w:val="24"/>
        </w:rPr>
        <w:t xml:space="preserve"> &lt; 0</w:t>
      </w:r>
      <w:r w:rsidRPr="00374B17">
        <w:rPr>
          <w:rFonts w:ascii="Times New Roman" w:hAnsi="Times New Roman" w:cs="Times New Roman"/>
          <w:sz w:val="24"/>
          <w:szCs w:val="24"/>
        </w:rPr>
        <w:t>, projekt není pro podnik přijatelný (</w:t>
      </w:r>
      <w:r>
        <w:rPr>
          <w:rFonts w:ascii="Times New Roman" w:hAnsi="Times New Roman" w:cs="Times New Roman"/>
          <w:sz w:val="24"/>
          <w:szCs w:val="24"/>
        </w:rPr>
        <w:t>platí opak předchozího sdělení</w:t>
      </w:r>
      <w:r w:rsidRPr="00374B17">
        <w:rPr>
          <w:rFonts w:ascii="Times New Roman" w:hAnsi="Times New Roman" w:cs="Times New Roman"/>
          <w:sz w:val="24"/>
          <w:szCs w:val="24"/>
        </w:rPr>
        <w:t xml:space="preserve">), </w:t>
      </w:r>
      <w:r w:rsidRPr="00374B17">
        <w:rPr>
          <w:rFonts w:ascii="Times New Roman" w:hAnsi="Times New Roman" w:cs="Times New Roman"/>
          <w:b/>
          <w:i/>
          <w:sz w:val="24"/>
          <w:szCs w:val="24"/>
        </w:rPr>
        <w:lastRenderedPageBreak/>
        <w:t>NPV</w:t>
      </w:r>
      <w:r w:rsidRPr="00374B17">
        <w:rPr>
          <w:rFonts w:ascii="Times New Roman" w:hAnsi="Times New Roman" w:cs="Times New Roman"/>
          <w:b/>
          <w:sz w:val="24"/>
          <w:szCs w:val="24"/>
        </w:rPr>
        <w:t xml:space="preserve"> = 0</w:t>
      </w:r>
      <w:r w:rsidRPr="00374B17">
        <w:rPr>
          <w:rFonts w:ascii="Times New Roman" w:hAnsi="Times New Roman" w:cs="Times New Roman"/>
          <w:sz w:val="24"/>
          <w:szCs w:val="24"/>
        </w:rPr>
        <w:t>, projekt je indiferentní (jeho přijetí ani nezvýší ani nesníží tržní hodnotu podniku).</w:t>
      </w:r>
    </w:p>
    <w:p w14:paraId="6AD93638" w14:textId="77777777" w:rsidR="00662708" w:rsidRPr="00823D16" w:rsidRDefault="00662708" w:rsidP="00662708">
      <w:pPr>
        <w:tabs>
          <w:tab w:val="left" w:pos="0"/>
        </w:tabs>
        <w:suppressAutoHyphens/>
        <w:autoSpaceDN w:val="0"/>
        <w:spacing w:after="120" w:line="360" w:lineRule="auto"/>
        <w:ind w:left="360" w:firstLine="284"/>
        <w:jc w:val="both"/>
        <w:textAlignment w:val="baseline"/>
        <w:rPr>
          <w:rStyle w:val="Zdraznnintenzivn"/>
          <w:rFonts w:cs="Times New Roman"/>
          <w:b/>
          <w:bCs/>
          <w:i w:val="0"/>
          <w:iCs w:val="0"/>
          <w:szCs w:val="24"/>
        </w:rPr>
      </w:pPr>
      <w:r>
        <w:rPr>
          <w:rStyle w:val="Zdraznnintenzivn"/>
          <w:rFonts w:cs="Times New Roman"/>
          <w:b/>
          <w:bCs/>
          <w:szCs w:val="24"/>
        </w:rPr>
        <w:t>P</w:t>
      </w:r>
      <w:r w:rsidRPr="00823D16">
        <w:rPr>
          <w:rStyle w:val="Zdraznnintenzivn"/>
          <w:rFonts w:cs="Times New Roman"/>
          <w:b/>
          <w:bCs/>
          <w:szCs w:val="24"/>
        </w:rPr>
        <w:t xml:space="preserve">říklad </w:t>
      </w:r>
      <w:r>
        <w:rPr>
          <w:rStyle w:val="Zdraznnintenzivn"/>
          <w:rFonts w:cs="Times New Roman"/>
          <w:b/>
          <w:bCs/>
          <w:szCs w:val="24"/>
        </w:rPr>
        <w:t>7. V</w:t>
      </w:r>
      <w:r w:rsidRPr="00823D16">
        <w:rPr>
          <w:rStyle w:val="Zdraznnintenzivn"/>
          <w:rFonts w:cs="Times New Roman"/>
          <w:b/>
          <w:bCs/>
          <w:szCs w:val="24"/>
        </w:rPr>
        <w:t>ýpočet NPV</w:t>
      </w:r>
    </w:p>
    <w:p w14:paraId="2A01E0E8" w14:textId="77777777" w:rsidR="00662708" w:rsidRPr="00823D16" w:rsidRDefault="00662708" w:rsidP="00662708">
      <w:pPr>
        <w:spacing w:after="120" w:line="360" w:lineRule="auto"/>
        <w:ind w:firstLine="284"/>
        <w:jc w:val="both"/>
        <w:rPr>
          <w:rFonts w:ascii="Times New Roman" w:hAnsi="Times New Roman" w:cs="Times New Roman"/>
          <w:sz w:val="24"/>
          <w:szCs w:val="24"/>
        </w:rPr>
      </w:pPr>
      <w:r w:rsidRPr="00823D16">
        <w:rPr>
          <w:rFonts w:ascii="Times New Roman" w:hAnsi="Times New Roman" w:cs="Times New Roman"/>
          <w:sz w:val="24"/>
          <w:szCs w:val="24"/>
        </w:rPr>
        <w:t xml:space="preserve">Existují dvě investiční varianty (A </w:t>
      </w:r>
      <w:proofErr w:type="spellStart"/>
      <w:r w:rsidRPr="00823D16">
        <w:rPr>
          <w:rFonts w:ascii="Times New Roman" w:hAnsi="Times New Roman" w:cs="Times New Roman"/>
          <w:sz w:val="24"/>
          <w:szCs w:val="24"/>
        </w:rPr>
        <w:t>a</w:t>
      </w:r>
      <w:proofErr w:type="spellEnd"/>
      <w:r w:rsidRPr="00823D16">
        <w:rPr>
          <w:rFonts w:ascii="Times New Roman" w:hAnsi="Times New Roman" w:cs="Times New Roman"/>
          <w:sz w:val="24"/>
          <w:szCs w:val="24"/>
        </w:rPr>
        <w:t xml:space="preserve"> B), u nichž se předpokládá stejný počáteční kapitálový výdaj 1 000 Kč, ale různé rozložení ročních čistých peněžních toků (viz následující tabulka). Náklady na kapitál činí 10 % (diskontní míra), doba životnosti je stejná pro obě varianty (6 let). Čisté peněžní toky investičních variant A </w:t>
      </w:r>
      <w:proofErr w:type="spellStart"/>
      <w:r w:rsidRPr="00823D16">
        <w:rPr>
          <w:rFonts w:ascii="Times New Roman" w:hAnsi="Times New Roman" w:cs="Times New Roman"/>
          <w:sz w:val="24"/>
          <w:szCs w:val="24"/>
        </w:rPr>
        <w:t>a</w:t>
      </w:r>
      <w:proofErr w:type="spellEnd"/>
      <w:r w:rsidRPr="00823D16">
        <w:rPr>
          <w:rFonts w:ascii="Times New Roman" w:hAnsi="Times New Roman" w:cs="Times New Roman"/>
          <w:sz w:val="24"/>
          <w:szCs w:val="24"/>
        </w:rPr>
        <w:t xml:space="preserve"> B jsou uvedeny v tis. Kč. </w:t>
      </w:r>
      <w:r>
        <w:rPr>
          <w:rFonts w:ascii="Times New Roman" w:hAnsi="Times New Roman" w:cs="Times New Roman"/>
          <w:sz w:val="24"/>
          <w:szCs w:val="24"/>
        </w:rPr>
        <w:t>Vaším úkolem je zhodnotit</w:t>
      </w:r>
      <w:r w:rsidRPr="00823D16">
        <w:rPr>
          <w:rFonts w:ascii="Times New Roman" w:hAnsi="Times New Roman" w:cs="Times New Roman"/>
          <w:sz w:val="24"/>
          <w:szCs w:val="24"/>
        </w:rPr>
        <w:t xml:space="preserve"> uvedené varianty pomocí čisté současné hodnoty.</w:t>
      </w:r>
    </w:p>
    <w:tbl>
      <w:tblPr>
        <w:tblStyle w:val="Mkatabulky"/>
        <w:tblW w:w="0" w:type="auto"/>
        <w:tblLook w:val="04A0" w:firstRow="1" w:lastRow="0" w:firstColumn="1" w:lastColumn="0" w:noHBand="0" w:noVBand="1"/>
      </w:tblPr>
      <w:tblGrid>
        <w:gridCol w:w="1696"/>
        <w:gridCol w:w="2160"/>
        <w:gridCol w:w="860"/>
        <w:gridCol w:w="860"/>
        <w:gridCol w:w="860"/>
        <w:gridCol w:w="860"/>
        <w:gridCol w:w="860"/>
        <w:gridCol w:w="860"/>
      </w:tblGrid>
      <w:tr w:rsidR="00662708" w:rsidRPr="00823D16" w14:paraId="5FDBBD1E" w14:textId="77777777" w:rsidTr="00EF3075">
        <w:tc>
          <w:tcPr>
            <w:tcW w:w="1696" w:type="dxa"/>
            <w:shd w:val="clear" w:color="auto" w:fill="D9E2F3" w:themeFill="accent1" w:themeFillTint="33"/>
          </w:tcPr>
          <w:p w14:paraId="251DE0C0" w14:textId="77777777" w:rsidR="00662708" w:rsidRPr="00823D16" w:rsidRDefault="00662708" w:rsidP="00EF3075">
            <w:pPr>
              <w:spacing w:after="120" w:line="360" w:lineRule="auto"/>
              <w:jc w:val="both"/>
              <w:rPr>
                <w:rFonts w:ascii="Times New Roman" w:hAnsi="Times New Roman" w:cs="Times New Roman"/>
                <w:b/>
                <w:sz w:val="24"/>
                <w:szCs w:val="24"/>
              </w:rPr>
            </w:pPr>
            <w:r w:rsidRPr="00823D16">
              <w:rPr>
                <w:rFonts w:ascii="Times New Roman" w:hAnsi="Times New Roman" w:cs="Times New Roman"/>
                <w:b/>
                <w:sz w:val="24"/>
                <w:szCs w:val="24"/>
              </w:rPr>
              <w:t>Investiční projekt</w:t>
            </w:r>
          </w:p>
        </w:tc>
        <w:tc>
          <w:tcPr>
            <w:tcW w:w="2160" w:type="dxa"/>
            <w:shd w:val="clear" w:color="auto" w:fill="D9E2F3" w:themeFill="accent1" w:themeFillTint="33"/>
          </w:tcPr>
          <w:p w14:paraId="0643EFA2" w14:textId="77777777" w:rsidR="00662708" w:rsidRPr="00823D16" w:rsidRDefault="00662708" w:rsidP="00EF3075">
            <w:pPr>
              <w:spacing w:after="120" w:line="360" w:lineRule="auto"/>
              <w:rPr>
                <w:rFonts w:ascii="Times New Roman" w:hAnsi="Times New Roman" w:cs="Times New Roman"/>
                <w:b/>
                <w:sz w:val="24"/>
                <w:szCs w:val="24"/>
              </w:rPr>
            </w:pPr>
            <w:r w:rsidRPr="00823D16">
              <w:rPr>
                <w:rFonts w:ascii="Times New Roman" w:hAnsi="Times New Roman" w:cs="Times New Roman"/>
                <w:b/>
                <w:sz w:val="24"/>
                <w:szCs w:val="24"/>
              </w:rPr>
              <w:t>Kapitálový výdaj</w:t>
            </w:r>
          </w:p>
        </w:tc>
        <w:tc>
          <w:tcPr>
            <w:tcW w:w="0" w:type="auto"/>
            <w:shd w:val="clear" w:color="auto" w:fill="D9E2F3" w:themeFill="accent1" w:themeFillTint="33"/>
          </w:tcPr>
          <w:p w14:paraId="774CD112" w14:textId="77777777" w:rsidR="00662708" w:rsidRPr="00823D16" w:rsidRDefault="00662708" w:rsidP="00EF3075">
            <w:pPr>
              <w:spacing w:after="120" w:line="360" w:lineRule="auto"/>
              <w:rPr>
                <w:rFonts w:ascii="Times New Roman" w:hAnsi="Times New Roman" w:cs="Times New Roman"/>
                <w:b/>
                <w:sz w:val="24"/>
                <w:szCs w:val="24"/>
              </w:rPr>
            </w:pPr>
            <w:r w:rsidRPr="00823D16">
              <w:rPr>
                <w:rFonts w:ascii="Times New Roman" w:hAnsi="Times New Roman" w:cs="Times New Roman"/>
                <w:b/>
                <w:sz w:val="24"/>
                <w:szCs w:val="24"/>
              </w:rPr>
              <w:t>1. rok</w:t>
            </w:r>
          </w:p>
        </w:tc>
        <w:tc>
          <w:tcPr>
            <w:tcW w:w="0" w:type="auto"/>
            <w:shd w:val="clear" w:color="auto" w:fill="D9E2F3" w:themeFill="accent1" w:themeFillTint="33"/>
          </w:tcPr>
          <w:p w14:paraId="58FD9AB8" w14:textId="77777777" w:rsidR="00662708" w:rsidRPr="00823D16" w:rsidRDefault="00662708" w:rsidP="00EF3075">
            <w:pPr>
              <w:spacing w:after="120" w:line="360" w:lineRule="auto"/>
              <w:rPr>
                <w:rFonts w:ascii="Times New Roman" w:hAnsi="Times New Roman" w:cs="Times New Roman"/>
                <w:b/>
                <w:sz w:val="24"/>
                <w:szCs w:val="24"/>
              </w:rPr>
            </w:pPr>
            <w:r w:rsidRPr="00823D16">
              <w:rPr>
                <w:rFonts w:ascii="Times New Roman" w:hAnsi="Times New Roman" w:cs="Times New Roman"/>
                <w:b/>
                <w:sz w:val="24"/>
                <w:szCs w:val="24"/>
              </w:rPr>
              <w:t>2. rok</w:t>
            </w:r>
          </w:p>
        </w:tc>
        <w:tc>
          <w:tcPr>
            <w:tcW w:w="0" w:type="auto"/>
            <w:shd w:val="clear" w:color="auto" w:fill="D9E2F3" w:themeFill="accent1" w:themeFillTint="33"/>
          </w:tcPr>
          <w:p w14:paraId="1425765D" w14:textId="77777777" w:rsidR="00662708" w:rsidRPr="00823D16" w:rsidRDefault="00662708" w:rsidP="00EF3075">
            <w:pPr>
              <w:spacing w:after="120" w:line="360" w:lineRule="auto"/>
              <w:rPr>
                <w:rFonts w:ascii="Times New Roman" w:hAnsi="Times New Roman" w:cs="Times New Roman"/>
                <w:b/>
                <w:sz w:val="24"/>
                <w:szCs w:val="24"/>
              </w:rPr>
            </w:pPr>
            <w:r w:rsidRPr="00823D16">
              <w:rPr>
                <w:rFonts w:ascii="Times New Roman" w:hAnsi="Times New Roman" w:cs="Times New Roman"/>
                <w:b/>
                <w:sz w:val="24"/>
                <w:szCs w:val="24"/>
              </w:rPr>
              <w:t>3. rok</w:t>
            </w:r>
          </w:p>
        </w:tc>
        <w:tc>
          <w:tcPr>
            <w:tcW w:w="0" w:type="auto"/>
            <w:shd w:val="clear" w:color="auto" w:fill="D9E2F3" w:themeFill="accent1" w:themeFillTint="33"/>
          </w:tcPr>
          <w:p w14:paraId="7C3A8860" w14:textId="77777777" w:rsidR="00662708" w:rsidRPr="00823D16" w:rsidRDefault="00662708" w:rsidP="00EF3075">
            <w:pPr>
              <w:spacing w:after="120" w:line="360" w:lineRule="auto"/>
              <w:rPr>
                <w:rFonts w:ascii="Times New Roman" w:hAnsi="Times New Roman" w:cs="Times New Roman"/>
                <w:b/>
                <w:sz w:val="24"/>
                <w:szCs w:val="24"/>
              </w:rPr>
            </w:pPr>
            <w:r w:rsidRPr="00823D16">
              <w:rPr>
                <w:rFonts w:ascii="Times New Roman" w:hAnsi="Times New Roman" w:cs="Times New Roman"/>
                <w:b/>
                <w:sz w:val="24"/>
                <w:szCs w:val="24"/>
              </w:rPr>
              <w:t>4. rok</w:t>
            </w:r>
          </w:p>
        </w:tc>
        <w:tc>
          <w:tcPr>
            <w:tcW w:w="0" w:type="auto"/>
            <w:shd w:val="clear" w:color="auto" w:fill="D9E2F3" w:themeFill="accent1" w:themeFillTint="33"/>
          </w:tcPr>
          <w:p w14:paraId="6C8ECCB9" w14:textId="77777777" w:rsidR="00662708" w:rsidRPr="00823D16" w:rsidRDefault="00662708" w:rsidP="00EF3075">
            <w:pPr>
              <w:spacing w:after="120" w:line="360" w:lineRule="auto"/>
              <w:rPr>
                <w:rFonts w:ascii="Times New Roman" w:hAnsi="Times New Roman" w:cs="Times New Roman"/>
                <w:b/>
                <w:sz w:val="24"/>
                <w:szCs w:val="24"/>
              </w:rPr>
            </w:pPr>
            <w:r w:rsidRPr="00823D16">
              <w:rPr>
                <w:rFonts w:ascii="Times New Roman" w:hAnsi="Times New Roman" w:cs="Times New Roman"/>
                <w:b/>
                <w:sz w:val="24"/>
                <w:szCs w:val="24"/>
              </w:rPr>
              <w:t>5. rok</w:t>
            </w:r>
          </w:p>
        </w:tc>
        <w:tc>
          <w:tcPr>
            <w:tcW w:w="0" w:type="auto"/>
            <w:shd w:val="clear" w:color="auto" w:fill="D9E2F3" w:themeFill="accent1" w:themeFillTint="33"/>
          </w:tcPr>
          <w:p w14:paraId="3D50CD2B" w14:textId="77777777" w:rsidR="00662708" w:rsidRPr="00823D16" w:rsidRDefault="00662708" w:rsidP="00EF3075">
            <w:pPr>
              <w:spacing w:after="120" w:line="360" w:lineRule="auto"/>
              <w:rPr>
                <w:rFonts w:ascii="Times New Roman" w:hAnsi="Times New Roman" w:cs="Times New Roman"/>
                <w:b/>
                <w:sz w:val="24"/>
                <w:szCs w:val="24"/>
              </w:rPr>
            </w:pPr>
            <w:r w:rsidRPr="00823D16">
              <w:rPr>
                <w:rFonts w:ascii="Times New Roman" w:hAnsi="Times New Roman" w:cs="Times New Roman"/>
                <w:b/>
                <w:sz w:val="24"/>
                <w:szCs w:val="24"/>
              </w:rPr>
              <w:t>6. rok</w:t>
            </w:r>
          </w:p>
        </w:tc>
      </w:tr>
      <w:tr w:rsidR="00662708" w:rsidRPr="00823D16" w14:paraId="4E810BC7" w14:textId="77777777" w:rsidTr="00EF3075">
        <w:tc>
          <w:tcPr>
            <w:tcW w:w="1696" w:type="dxa"/>
            <w:shd w:val="clear" w:color="auto" w:fill="D9E2F3" w:themeFill="accent1" w:themeFillTint="33"/>
          </w:tcPr>
          <w:p w14:paraId="0BF30137" w14:textId="77777777" w:rsidR="00662708" w:rsidRPr="00823D16" w:rsidRDefault="00662708" w:rsidP="00EF3075">
            <w:pPr>
              <w:spacing w:after="120" w:line="360" w:lineRule="auto"/>
              <w:jc w:val="both"/>
              <w:rPr>
                <w:rFonts w:ascii="Times New Roman" w:hAnsi="Times New Roman" w:cs="Times New Roman"/>
                <w:b/>
                <w:sz w:val="24"/>
                <w:szCs w:val="24"/>
              </w:rPr>
            </w:pPr>
            <w:r w:rsidRPr="00823D16">
              <w:rPr>
                <w:rFonts w:ascii="Times New Roman" w:hAnsi="Times New Roman" w:cs="Times New Roman"/>
                <w:b/>
                <w:sz w:val="24"/>
                <w:szCs w:val="24"/>
              </w:rPr>
              <w:t>Varianta A</w:t>
            </w:r>
          </w:p>
        </w:tc>
        <w:tc>
          <w:tcPr>
            <w:tcW w:w="2160" w:type="dxa"/>
          </w:tcPr>
          <w:p w14:paraId="0482623E"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 xml:space="preserve">1 000 </w:t>
            </w:r>
          </w:p>
        </w:tc>
        <w:tc>
          <w:tcPr>
            <w:tcW w:w="0" w:type="auto"/>
          </w:tcPr>
          <w:p w14:paraId="18FF8E09"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300</w:t>
            </w:r>
          </w:p>
        </w:tc>
        <w:tc>
          <w:tcPr>
            <w:tcW w:w="0" w:type="auto"/>
          </w:tcPr>
          <w:p w14:paraId="1EF8BAE0"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600</w:t>
            </w:r>
          </w:p>
        </w:tc>
        <w:tc>
          <w:tcPr>
            <w:tcW w:w="0" w:type="auto"/>
          </w:tcPr>
          <w:p w14:paraId="4725E16A"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400</w:t>
            </w:r>
          </w:p>
        </w:tc>
        <w:tc>
          <w:tcPr>
            <w:tcW w:w="0" w:type="auto"/>
          </w:tcPr>
          <w:p w14:paraId="134588A3"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300</w:t>
            </w:r>
          </w:p>
        </w:tc>
        <w:tc>
          <w:tcPr>
            <w:tcW w:w="0" w:type="auto"/>
          </w:tcPr>
          <w:p w14:paraId="6D97829E"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200</w:t>
            </w:r>
          </w:p>
        </w:tc>
        <w:tc>
          <w:tcPr>
            <w:tcW w:w="0" w:type="auto"/>
          </w:tcPr>
          <w:p w14:paraId="687AEA72"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100</w:t>
            </w:r>
          </w:p>
        </w:tc>
      </w:tr>
      <w:tr w:rsidR="00662708" w:rsidRPr="00823D16" w14:paraId="009AFF9A" w14:textId="77777777" w:rsidTr="00EF3075">
        <w:tc>
          <w:tcPr>
            <w:tcW w:w="1696" w:type="dxa"/>
            <w:shd w:val="clear" w:color="auto" w:fill="D9E2F3" w:themeFill="accent1" w:themeFillTint="33"/>
          </w:tcPr>
          <w:p w14:paraId="47ADAE81" w14:textId="77777777" w:rsidR="00662708" w:rsidRPr="00823D16" w:rsidRDefault="00662708" w:rsidP="00EF3075">
            <w:pPr>
              <w:spacing w:after="120" w:line="360" w:lineRule="auto"/>
              <w:jc w:val="both"/>
              <w:rPr>
                <w:rFonts w:ascii="Times New Roman" w:hAnsi="Times New Roman" w:cs="Times New Roman"/>
                <w:b/>
                <w:sz w:val="24"/>
                <w:szCs w:val="24"/>
              </w:rPr>
            </w:pPr>
            <w:r w:rsidRPr="00823D16">
              <w:rPr>
                <w:rFonts w:ascii="Times New Roman" w:hAnsi="Times New Roman" w:cs="Times New Roman"/>
                <w:b/>
                <w:sz w:val="24"/>
                <w:szCs w:val="24"/>
              </w:rPr>
              <w:t>Varianta B</w:t>
            </w:r>
          </w:p>
        </w:tc>
        <w:tc>
          <w:tcPr>
            <w:tcW w:w="2160" w:type="dxa"/>
          </w:tcPr>
          <w:p w14:paraId="6D0C6334"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 xml:space="preserve">1 000 </w:t>
            </w:r>
          </w:p>
        </w:tc>
        <w:tc>
          <w:tcPr>
            <w:tcW w:w="0" w:type="auto"/>
          </w:tcPr>
          <w:p w14:paraId="0F46A1A7"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100</w:t>
            </w:r>
          </w:p>
        </w:tc>
        <w:tc>
          <w:tcPr>
            <w:tcW w:w="0" w:type="auto"/>
          </w:tcPr>
          <w:p w14:paraId="23B43C8A"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200</w:t>
            </w:r>
          </w:p>
        </w:tc>
        <w:tc>
          <w:tcPr>
            <w:tcW w:w="0" w:type="auto"/>
          </w:tcPr>
          <w:p w14:paraId="54834ECD"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300</w:t>
            </w:r>
          </w:p>
        </w:tc>
        <w:tc>
          <w:tcPr>
            <w:tcW w:w="0" w:type="auto"/>
          </w:tcPr>
          <w:p w14:paraId="4C72F20D"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400</w:t>
            </w:r>
          </w:p>
        </w:tc>
        <w:tc>
          <w:tcPr>
            <w:tcW w:w="0" w:type="auto"/>
          </w:tcPr>
          <w:p w14:paraId="70BCC5EB"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500</w:t>
            </w:r>
          </w:p>
        </w:tc>
        <w:tc>
          <w:tcPr>
            <w:tcW w:w="0" w:type="auto"/>
          </w:tcPr>
          <w:p w14:paraId="1501C97A" w14:textId="77777777" w:rsidR="00662708" w:rsidRPr="00823D16" w:rsidRDefault="00662708" w:rsidP="00EF3075">
            <w:pPr>
              <w:spacing w:after="120" w:line="360" w:lineRule="auto"/>
              <w:ind w:firstLine="284"/>
              <w:jc w:val="center"/>
              <w:rPr>
                <w:rFonts w:ascii="Times New Roman" w:hAnsi="Times New Roman" w:cs="Times New Roman"/>
                <w:sz w:val="24"/>
                <w:szCs w:val="24"/>
              </w:rPr>
            </w:pPr>
            <w:r w:rsidRPr="00823D16">
              <w:rPr>
                <w:rFonts w:ascii="Times New Roman" w:hAnsi="Times New Roman" w:cs="Times New Roman"/>
                <w:sz w:val="24"/>
                <w:szCs w:val="24"/>
              </w:rPr>
              <w:t>600</w:t>
            </w:r>
          </w:p>
        </w:tc>
      </w:tr>
    </w:tbl>
    <w:p w14:paraId="554C65D9" w14:textId="77777777" w:rsidR="00662708" w:rsidRPr="00823D16" w:rsidRDefault="00662708" w:rsidP="00662708">
      <w:pPr>
        <w:pStyle w:val="Odstavecseseznamem"/>
        <w:spacing w:after="120" w:line="360" w:lineRule="auto"/>
        <w:ind w:left="1004"/>
        <w:jc w:val="both"/>
        <w:rPr>
          <w:rFonts w:ascii="Times New Roman" w:hAnsi="Times New Roman" w:cs="Times New Roman"/>
          <w:i/>
          <w:sz w:val="24"/>
          <w:szCs w:val="24"/>
        </w:rPr>
      </w:pPr>
    </w:p>
    <w:p w14:paraId="6EEC2ACB" w14:textId="77777777" w:rsidR="00662708" w:rsidRPr="00823D16" w:rsidRDefault="00662708" w:rsidP="00662708">
      <w:pPr>
        <w:spacing w:after="120" w:line="360" w:lineRule="auto"/>
        <w:jc w:val="both"/>
        <w:rPr>
          <w:rFonts w:ascii="Times New Roman" w:hAnsi="Times New Roman" w:cs="Times New Roman"/>
          <w:i/>
          <w:sz w:val="24"/>
          <w:szCs w:val="24"/>
        </w:rPr>
      </w:pPr>
      <w:r w:rsidRPr="00823D16">
        <w:rPr>
          <w:rFonts w:ascii="Times New Roman" w:hAnsi="Times New Roman" w:cs="Times New Roman"/>
          <w:i/>
          <w:sz w:val="24"/>
          <w:szCs w:val="24"/>
        </w:rPr>
        <w:t>Postup výpočtu:</w:t>
      </w:r>
    </w:p>
    <w:p w14:paraId="7532A7CD" w14:textId="77777777" w:rsidR="00662708" w:rsidRPr="00823D16" w:rsidRDefault="00662708" w:rsidP="00662708">
      <w:pPr>
        <w:pStyle w:val="Odstavecseseznamem"/>
        <w:numPr>
          <w:ilvl w:val="0"/>
          <w:numId w:val="6"/>
        </w:numPr>
        <w:spacing w:after="120" w:line="360" w:lineRule="auto"/>
        <w:jc w:val="both"/>
        <w:rPr>
          <w:rFonts w:ascii="Times New Roman" w:hAnsi="Times New Roman" w:cs="Times New Roman"/>
          <w:sz w:val="24"/>
          <w:szCs w:val="24"/>
        </w:rPr>
      </w:pPr>
      <w:r w:rsidRPr="00823D16">
        <w:rPr>
          <w:rFonts w:ascii="Times New Roman" w:hAnsi="Times New Roman" w:cs="Times New Roman"/>
          <w:i/>
          <w:sz w:val="24"/>
          <w:szCs w:val="24"/>
        </w:rPr>
        <w:t>NPV</w:t>
      </w:r>
      <w:r w:rsidRPr="00823D16">
        <w:rPr>
          <w:rFonts w:ascii="Times New Roman" w:hAnsi="Times New Roman" w:cs="Times New Roman"/>
          <w:i/>
          <w:position w:val="-6"/>
          <w:sz w:val="24"/>
          <w:szCs w:val="24"/>
          <w:vertAlign w:val="subscript"/>
        </w:rPr>
        <w:t>A</w:t>
      </w:r>
      <w:r w:rsidRPr="00823D16">
        <w:rPr>
          <w:rFonts w:ascii="Times New Roman" w:hAnsi="Times New Roman" w:cs="Times New Roman"/>
          <w:sz w:val="24"/>
          <w:szCs w:val="24"/>
        </w:rPr>
        <w:t xml:space="preserve">= - 1 000 + 300 </w:t>
      </w:r>
      <w:r>
        <w:rPr>
          <w:rFonts w:ascii="Symbol" w:hAnsi="Symbol"/>
        </w:rPr>
        <w:t></w:t>
      </w:r>
      <w:r>
        <w:rPr>
          <w:rFonts w:ascii="Symbol" w:hAnsi="Symbol"/>
        </w:rPr>
        <w:t></w:t>
      </w:r>
      <w:r w:rsidRPr="00823D16">
        <w:rPr>
          <w:rFonts w:ascii="Times New Roman" w:hAnsi="Times New Roman" w:cs="Times New Roman"/>
          <w:sz w:val="24"/>
          <w:szCs w:val="24"/>
        </w:rPr>
        <w:t xml:space="preserve">0,909 + 600 </w:t>
      </w:r>
      <w:r>
        <w:rPr>
          <w:rFonts w:ascii="Symbol" w:hAnsi="Symbol"/>
        </w:rPr>
        <w:t></w:t>
      </w:r>
      <w:r>
        <w:rPr>
          <w:rFonts w:ascii="Symbol" w:hAnsi="Symbol"/>
        </w:rPr>
        <w:t></w:t>
      </w:r>
      <w:r w:rsidRPr="00823D16">
        <w:rPr>
          <w:rFonts w:ascii="Times New Roman" w:hAnsi="Times New Roman" w:cs="Times New Roman"/>
          <w:sz w:val="24"/>
          <w:szCs w:val="24"/>
        </w:rPr>
        <w:t xml:space="preserve">0,826 + 400 </w:t>
      </w:r>
      <w:r>
        <w:rPr>
          <w:rFonts w:ascii="Symbol" w:hAnsi="Symbol"/>
        </w:rPr>
        <w:t></w:t>
      </w:r>
      <w:r>
        <w:rPr>
          <w:rFonts w:ascii="Symbol" w:hAnsi="Symbol"/>
        </w:rPr>
        <w:t></w:t>
      </w:r>
      <w:r w:rsidRPr="00823D16">
        <w:rPr>
          <w:rFonts w:ascii="Times New Roman" w:hAnsi="Times New Roman" w:cs="Times New Roman"/>
          <w:sz w:val="24"/>
          <w:szCs w:val="24"/>
        </w:rPr>
        <w:t xml:space="preserve">0,751 + 300 </w:t>
      </w:r>
      <w:r>
        <w:rPr>
          <w:rFonts w:ascii="Symbol" w:hAnsi="Symbol"/>
        </w:rPr>
        <w:t></w:t>
      </w:r>
      <w:r>
        <w:rPr>
          <w:rFonts w:ascii="Symbol" w:hAnsi="Symbol"/>
        </w:rPr>
        <w:t></w:t>
      </w:r>
      <w:r w:rsidRPr="00823D16">
        <w:rPr>
          <w:rFonts w:ascii="Times New Roman" w:hAnsi="Times New Roman" w:cs="Times New Roman"/>
          <w:sz w:val="24"/>
          <w:szCs w:val="24"/>
        </w:rPr>
        <w:t xml:space="preserve">0,683 + 200 </w:t>
      </w:r>
      <w:r>
        <w:rPr>
          <w:rFonts w:ascii="Symbol" w:hAnsi="Symbol"/>
        </w:rPr>
        <w:t></w:t>
      </w:r>
      <w:r>
        <w:rPr>
          <w:rFonts w:ascii="Symbol" w:hAnsi="Symbol"/>
        </w:rPr>
        <w:t></w:t>
      </w:r>
      <w:r w:rsidRPr="00823D16">
        <w:rPr>
          <w:rFonts w:ascii="Times New Roman" w:hAnsi="Times New Roman" w:cs="Times New Roman"/>
          <w:sz w:val="24"/>
          <w:szCs w:val="24"/>
        </w:rPr>
        <w:t xml:space="preserve">0,620 + 100 </w:t>
      </w:r>
      <w:r>
        <w:rPr>
          <w:rFonts w:ascii="Symbol" w:hAnsi="Symbol"/>
        </w:rPr>
        <w:t></w:t>
      </w:r>
      <w:r>
        <w:rPr>
          <w:rFonts w:ascii="Symbol" w:hAnsi="Symbol"/>
        </w:rPr>
        <w:t></w:t>
      </w:r>
      <w:r w:rsidRPr="00823D16">
        <w:rPr>
          <w:rFonts w:ascii="Times New Roman" w:hAnsi="Times New Roman" w:cs="Times New Roman"/>
          <w:sz w:val="24"/>
          <w:szCs w:val="24"/>
        </w:rPr>
        <w:t>0,564 = 454 tisíc Kč</w:t>
      </w:r>
    </w:p>
    <w:p w14:paraId="335C5FA1" w14:textId="77777777" w:rsidR="00662708" w:rsidRDefault="00662708" w:rsidP="00662708">
      <w:pPr>
        <w:pStyle w:val="Odstavecseseznamem"/>
        <w:numPr>
          <w:ilvl w:val="0"/>
          <w:numId w:val="6"/>
        </w:numPr>
        <w:spacing w:after="120" w:line="360" w:lineRule="auto"/>
        <w:jc w:val="both"/>
        <w:rPr>
          <w:rFonts w:ascii="Times New Roman" w:hAnsi="Times New Roman" w:cs="Times New Roman"/>
          <w:sz w:val="24"/>
          <w:szCs w:val="24"/>
        </w:rPr>
      </w:pPr>
      <w:r w:rsidRPr="00823D16">
        <w:rPr>
          <w:rFonts w:ascii="Times New Roman" w:hAnsi="Times New Roman" w:cs="Times New Roman"/>
          <w:i/>
          <w:sz w:val="24"/>
          <w:szCs w:val="24"/>
        </w:rPr>
        <w:t>NPV</w:t>
      </w:r>
      <w:r w:rsidRPr="00823D16">
        <w:rPr>
          <w:rFonts w:ascii="Times New Roman" w:hAnsi="Times New Roman" w:cs="Times New Roman"/>
          <w:i/>
          <w:position w:val="-6"/>
          <w:sz w:val="24"/>
          <w:szCs w:val="24"/>
          <w:vertAlign w:val="subscript"/>
        </w:rPr>
        <w:t>B</w:t>
      </w:r>
      <w:r w:rsidRPr="00823D16">
        <w:rPr>
          <w:rFonts w:ascii="Times New Roman" w:hAnsi="Times New Roman" w:cs="Times New Roman"/>
          <w:sz w:val="24"/>
          <w:szCs w:val="24"/>
        </w:rPr>
        <w:t xml:space="preserve">= - 1 000 + 100 </w:t>
      </w:r>
      <w:r>
        <w:rPr>
          <w:rFonts w:ascii="Symbol" w:hAnsi="Symbol"/>
        </w:rPr>
        <w:t></w:t>
      </w:r>
      <w:r>
        <w:rPr>
          <w:rFonts w:ascii="Symbol" w:hAnsi="Symbol"/>
        </w:rPr>
        <w:t></w:t>
      </w:r>
      <w:r w:rsidRPr="00823D16">
        <w:rPr>
          <w:rFonts w:ascii="Times New Roman" w:hAnsi="Times New Roman" w:cs="Times New Roman"/>
          <w:sz w:val="24"/>
          <w:szCs w:val="24"/>
        </w:rPr>
        <w:t xml:space="preserve">0,909 + 200 </w:t>
      </w:r>
      <w:r>
        <w:rPr>
          <w:rFonts w:ascii="Symbol" w:hAnsi="Symbol"/>
        </w:rPr>
        <w:t></w:t>
      </w:r>
      <w:r>
        <w:rPr>
          <w:rFonts w:ascii="Symbol" w:hAnsi="Symbol"/>
        </w:rPr>
        <w:t></w:t>
      </w:r>
      <w:r w:rsidRPr="00823D16">
        <w:rPr>
          <w:rFonts w:ascii="Times New Roman" w:hAnsi="Times New Roman" w:cs="Times New Roman"/>
          <w:sz w:val="24"/>
          <w:szCs w:val="24"/>
        </w:rPr>
        <w:t xml:space="preserve">0,826 + 300 </w:t>
      </w:r>
      <w:r>
        <w:rPr>
          <w:rFonts w:ascii="Symbol" w:hAnsi="Symbol"/>
        </w:rPr>
        <w:t></w:t>
      </w:r>
      <w:r>
        <w:rPr>
          <w:rFonts w:ascii="Symbol" w:hAnsi="Symbol"/>
        </w:rPr>
        <w:t></w:t>
      </w:r>
      <w:r w:rsidRPr="00823D16">
        <w:rPr>
          <w:rFonts w:ascii="Times New Roman" w:hAnsi="Times New Roman" w:cs="Times New Roman"/>
          <w:sz w:val="24"/>
          <w:szCs w:val="24"/>
        </w:rPr>
        <w:t xml:space="preserve">0,751 + 400 </w:t>
      </w:r>
      <w:r>
        <w:rPr>
          <w:rFonts w:ascii="Symbol" w:hAnsi="Symbol"/>
        </w:rPr>
        <w:t></w:t>
      </w:r>
      <w:r>
        <w:rPr>
          <w:rFonts w:ascii="Symbol" w:hAnsi="Symbol"/>
        </w:rPr>
        <w:t></w:t>
      </w:r>
      <w:r w:rsidRPr="00823D16">
        <w:rPr>
          <w:rFonts w:ascii="Times New Roman" w:hAnsi="Times New Roman" w:cs="Times New Roman"/>
          <w:sz w:val="24"/>
          <w:szCs w:val="24"/>
        </w:rPr>
        <w:t xml:space="preserve">0,683 + 500 </w:t>
      </w:r>
      <w:r>
        <w:rPr>
          <w:rFonts w:ascii="Symbol" w:hAnsi="Symbol"/>
        </w:rPr>
        <w:t></w:t>
      </w:r>
      <w:r>
        <w:rPr>
          <w:rFonts w:ascii="Symbol" w:hAnsi="Symbol"/>
        </w:rPr>
        <w:t></w:t>
      </w:r>
      <w:r w:rsidRPr="00823D16">
        <w:rPr>
          <w:rFonts w:ascii="Times New Roman" w:hAnsi="Times New Roman" w:cs="Times New Roman"/>
          <w:sz w:val="24"/>
          <w:szCs w:val="24"/>
        </w:rPr>
        <w:t xml:space="preserve">0,620 + 600 </w:t>
      </w:r>
      <w:r>
        <w:rPr>
          <w:rFonts w:ascii="Symbol" w:hAnsi="Symbol"/>
        </w:rPr>
        <w:t></w:t>
      </w:r>
      <w:r>
        <w:rPr>
          <w:rFonts w:ascii="Symbol" w:hAnsi="Symbol"/>
        </w:rPr>
        <w:t></w:t>
      </w:r>
      <w:r w:rsidRPr="00823D16">
        <w:rPr>
          <w:rFonts w:ascii="Times New Roman" w:hAnsi="Times New Roman" w:cs="Times New Roman"/>
          <w:sz w:val="24"/>
          <w:szCs w:val="24"/>
        </w:rPr>
        <w:t>0,564 = 403 tisíc Kč</w:t>
      </w:r>
    </w:p>
    <w:p w14:paraId="79CD7C93" w14:textId="77777777" w:rsidR="00662708" w:rsidRPr="00823D16" w:rsidRDefault="00662708" w:rsidP="00662708">
      <w:pPr>
        <w:spacing w:after="120" w:line="360" w:lineRule="auto"/>
        <w:ind w:left="360"/>
        <w:jc w:val="both"/>
        <w:rPr>
          <w:rFonts w:ascii="Times New Roman" w:hAnsi="Times New Roman" w:cs="Times New Roman"/>
          <w:sz w:val="24"/>
          <w:szCs w:val="24"/>
        </w:rPr>
      </w:pPr>
      <w:r>
        <w:rPr>
          <w:rFonts w:ascii="Times New Roman" w:hAnsi="Times New Roman" w:cs="Times New Roman"/>
          <w:sz w:val="24"/>
          <w:szCs w:val="24"/>
        </w:rPr>
        <w:t>kde 0,909 = 1 / (1 + 0,1), 0,823 = 1 / (1 + 0,1)</w:t>
      </w:r>
      <w:r w:rsidRPr="00823D16">
        <w:rPr>
          <w:rFonts w:ascii="Times New Roman" w:hAnsi="Times New Roman" w:cs="Times New Roman"/>
          <w:sz w:val="24"/>
          <w:szCs w:val="24"/>
          <w:vertAlign w:val="superscript"/>
        </w:rPr>
        <w:t>2</w:t>
      </w:r>
      <w:r>
        <w:rPr>
          <w:rFonts w:ascii="Times New Roman" w:hAnsi="Times New Roman" w:cs="Times New Roman"/>
          <w:sz w:val="24"/>
          <w:szCs w:val="24"/>
        </w:rPr>
        <w:t>, 0,751 = 1 / (1 + 0,1)</w:t>
      </w:r>
      <w:r w:rsidRPr="000423C3">
        <w:rPr>
          <w:rFonts w:ascii="Times New Roman" w:hAnsi="Times New Roman" w:cs="Times New Roman"/>
          <w:sz w:val="24"/>
          <w:szCs w:val="24"/>
        </w:rPr>
        <w:t>3</w:t>
      </w:r>
      <w:r>
        <w:rPr>
          <w:rFonts w:ascii="Times New Roman" w:hAnsi="Times New Roman" w:cs="Times New Roman"/>
          <w:sz w:val="24"/>
          <w:szCs w:val="24"/>
        </w:rPr>
        <w:t xml:space="preserve">, </w:t>
      </w:r>
      <w:r w:rsidRPr="000423C3">
        <w:rPr>
          <w:rFonts w:ascii="Times New Roman" w:hAnsi="Times New Roman" w:cs="Times New Roman"/>
          <w:sz w:val="24"/>
          <w:szCs w:val="24"/>
        </w:rPr>
        <w:t>0</w:t>
      </w:r>
      <w:r>
        <w:rPr>
          <w:rFonts w:ascii="Times New Roman" w:hAnsi="Times New Roman" w:cs="Times New Roman"/>
          <w:sz w:val="24"/>
          <w:szCs w:val="24"/>
        </w:rPr>
        <w:t>,683 = 1 / (1 + 0,1)</w:t>
      </w:r>
      <w:r w:rsidRPr="000423C3">
        <w:rPr>
          <w:rFonts w:ascii="Times New Roman" w:hAnsi="Times New Roman" w:cs="Times New Roman"/>
          <w:sz w:val="24"/>
          <w:szCs w:val="24"/>
        </w:rPr>
        <w:t>4</w:t>
      </w:r>
      <w:r>
        <w:rPr>
          <w:rFonts w:ascii="Times New Roman" w:hAnsi="Times New Roman" w:cs="Times New Roman"/>
          <w:sz w:val="24"/>
          <w:szCs w:val="24"/>
        </w:rPr>
        <w:t xml:space="preserve">, </w:t>
      </w:r>
      <w:r w:rsidRPr="000423C3">
        <w:rPr>
          <w:rFonts w:ascii="Times New Roman" w:hAnsi="Times New Roman" w:cs="Times New Roman"/>
          <w:sz w:val="24"/>
          <w:szCs w:val="24"/>
        </w:rPr>
        <w:t>0</w:t>
      </w:r>
      <w:r>
        <w:rPr>
          <w:rFonts w:ascii="Times New Roman" w:hAnsi="Times New Roman" w:cs="Times New Roman"/>
          <w:sz w:val="24"/>
          <w:szCs w:val="24"/>
        </w:rPr>
        <w:t>,620 = 1 / (1 + 0,1)</w:t>
      </w:r>
      <w:r w:rsidRPr="000423C3">
        <w:rPr>
          <w:rFonts w:ascii="Times New Roman" w:hAnsi="Times New Roman" w:cs="Times New Roman"/>
          <w:sz w:val="24"/>
          <w:szCs w:val="24"/>
        </w:rPr>
        <w:t>5</w:t>
      </w:r>
      <w:r>
        <w:rPr>
          <w:rFonts w:ascii="Times New Roman" w:hAnsi="Times New Roman" w:cs="Times New Roman"/>
          <w:sz w:val="24"/>
          <w:szCs w:val="24"/>
        </w:rPr>
        <w:t xml:space="preserve">, </w:t>
      </w:r>
      <w:r w:rsidRPr="000423C3">
        <w:rPr>
          <w:rFonts w:ascii="Times New Roman" w:hAnsi="Times New Roman" w:cs="Times New Roman"/>
          <w:sz w:val="24"/>
          <w:szCs w:val="24"/>
        </w:rPr>
        <w:t>0</w:t>
      </w:r>
      <w:r>
        <w:rPr>
          <w:rFonts w:ascii="Times New Roman" w:hAnsi="Times New Roman" w:cs="Times New Roman"/>
          <w:sz w:val="24"/>
          <w:szCs w:val="24"/>
        </w:rPr>
        <w:t>,564 = 1 / (1 + 0,1)</w:t>
      </w:r>
      <w:r>
        <w:rPr>
          <w:rFonts w:ascii="Times New Roman" w:hAnsi="Times New Roman" w:cs="Times New Roman"/>
          <w:sz w:val="24"/>
          <w:szCs w:val="24"/>
          <w:vertAlign w:val="superscript"/>
        </w:rPr>
        <w:t>6</w:t>
      </w:r>
    </w:p>
    <w:p w14:paraId="5B31127B" w14:textId="77777777" w:rsidR="00662708" w:rsidRDefault="00662708" w:rsidP="00662708">
      <w:pPr>
        <w:spacing w:after="120" w:line="360" w:lineRule="auto"/>
        <w:ind w:firstLine="284"/>
        <w:jc w:val="both"/>
        <w:rPr>
          <w:rFonts w:ascii="Times New Roman" w:hAnsi="Times New Roman" w:cs="Times New Roman"/>
          <w:sz w:val="24"/>
          <w:szCs w:val="24"/>
        </w:rPr>
      </w:pPr>
      <w:r w:rsidRPr="00823D16">
        <w:rPr>
          <w:rFonts w:ascii="Times New Roman" w:hAnsi="Times New Roman" w:cs="Times New Roman"/>
          <w:sz w:val="24"/>
          <w:szCs w:val="24"/>
        </w:rPr>
        <w:t>Varianta A má vyšší čistou současnou hodnotu než varianta B a jeví se proto jako výhodnější investice – za 6 let životnosti slibuje vyšší příspěvek k bohatství investora, a to o 51 tisíc Kč.</w:t>
      </w:r>
    </w:p>
    <w:p w14:paraId="049ED4ED" w14:textId="77777777" w:rsidR="00662708" w:rsidRPr="005D6A86" w:rsidRDefault="00662708" w:rsidP="00662708">
      <w:pPr>
        <w:spacing w:after="120" w:line="360" w:lineRule="auto"/>
        <w:ind w:firstLine="284"/>
        <w:jc w:val="both"/>
        <w:rPr>
          <w:rFonts w:ascii="Times New Roman" w:hAnsi="Times New Roman" w:cs="Times New Roman"/>
          <w:sz w:val="28"/>
          <w:szCs w:val="28"/>
        </w:rPr>
      </w:pPr>
      <w:r w:rsidRPr="005D6A86">
        <w:rPr>
          <w:rFonts w:ascii="Times New Roman" w:hAnsi="Times New Roman" w:cs="Times New Roman"/>
          <w:sz w:val="24"/>
          <w:szCs w:val="24"/>
        </w:rPr>
        <w:t>Jak vidíme, NPV lze jasně interpretovat. Z uvedeného výkladu si shrňme její nejpodstatnější charakteristické rysy:</w:t>
      </w:r>
    </w:p>
    <w:p w14:paraId="5C5B2C36" w14:textId="77777777" w:rsidR="00662708" w:rsidRPr="0092395B" w:rsidRDefault="00662708" w:rsidP="00662708">
      <w:pPr>
        <w:pStyle w:val="odrkaa"/>
        <w:numPr>
          <w:ilvl w:val="0"/>
          <w:numId w:val="7"/>
        </w:numPr>
        <w:spacing w:before="0" w:after="120" w:line="360" w:lineRule="auto"/>
        <w:rPr>
          <w:sz w:val="24"/>
          <w:szCs w:val="24"/>
        </w:rPr>
      </w:pPr>
      <w:r w:rsidRPr="0092395B">
        <w:rPr>
          <w:sz w:val="24"/>
          <w:szCs w:val="24"/>
        </w:rPr>
        <w:t xml:space="preserve">Pravidlo NPV bere v úvahu hodnotu peněz jak z hlediska času, tak z hlediska rizika (tj. ctí základní principy teorie financování). </w:t>
      </w:r>
    </w:p>
    <w:p w14:paraId="30BC0296" w14:textId="77777777" w:rsidR="00662708" w:rsidRPr="0092395B" w:rsidRDefault="00662708" w:rsidP="00662708">
      <w:pPr>
        <w:pStyle w:val="odrkaa"/>
        <w:numPr>
          <w:ilvl w:val="0"/>
          <w:numId w:val="7"/>
        </w:numPr>
        <w:spacing w:before="0" w:after="120" w:line="360" w:lineRule="auto"/>
        <w:rPr>
          <w:sz w:val="24"/>
          <w:szCs w:val="24"/>
        </w:rPr>
      </w:pPr>
      <w:r w:rsidRPr="0092395B">
        <w:rPr>
          <w:sz w:val="24"/>
          <w:szCs w:val="24"/>
        </w:rPr>
        <w:t xml:space="preserve">NPV závisí výlučně na prognózovaných hotovostních tocích z projektu a alternativním nákladu kapitálu. Rozhodnutí není ovlivněno vkusem manažera ani prvky „účelovosti“. </w:t>
      </w:r>
    </w:p>
    <w:p w14:paraId="37BC0EB5" w14:textId="77777777" w:rsidR="00662708" w:rsidRPr="0092395B" w:rsidRDefault="00662708" w:rsidP="00662708">
      <w:pPr>
        <w:pStyle w:val="odrkaa"/>
        <w:numPr>
          <w:ilvl w:val="0"/>
          <w:numId w:val="7"/>
        </w:numPr>
        <w:spacing w:before="0" w:after="120" w:line="360" w:lineRule="auto"/>
        <w:rPr>
          <w:sz w:val="24"/>
          <w:szCs w:val="24"/>
        </w:rPr>
      </w:pPr>
      <w:r w:rsidRPr="0092395B">
        <w:rPr>
          <w:sz w:val="24"/>
          <w:szCs w:val="24"/>
        </w:rPr>
        <w:lastRenderedPageBreak/>
        <w:t xml:space="preserve">NPV je obdařena vlastností </w:t>
      </w:r>
      <w:proofErr w:type="spellStart"/>
      <w:r w:rsidRPr="0092395B">
        <w:rPr>
          <w:sz w:val="24"/>
          <w:szCs w:val="24"/>
        </w:rPr>
        <w:t>aditivity</w:t>
      </w:r>
      <w:proofErr w:type="spellEnd"/>
      <w:r w:rsidRPr="0092395B">
        <w:rPr>
          <w:sz w:val="24"/>
          <w:szCs w:val="24"/>
        </w:rPr>
        <w:t xml:space="preserve">. Jsou-li A </w:t>
      </w:r>
      <w:proofErr w:type="spellStart"/>
      <w:r w:rsidRPr="0092395B">
        <w:rPr>
          <w:sz w:val="24"/>
          <w:szCs w:val="24"/>
        </w:rPr>
        <w:t>a</w:t>
      </w:r>
      <w:proofErr w:type="spellEnd"/>
      <w:r w:rsidRPr="0092395B">
        <w:rPr>
          <w:sz w:val="24"/>
          <w:szCs w:val="24"/>
        </w:rPr>
        <w:t xml:space="preserve"> B dva projekty, pro sloučenou investici (A + B) platí </w:t>
      </w:r>
      <w:proofErr w:type="gramStart"/>
      <w:r w:rsidRPr="0092395B">
        <w:rPr>
          <w:sz w:val="24"/>
          <w:szCs w:val="24"/>
        </w:rPr>
        <w:t>NPV(</w:t>
      </w:r>
      <w:proofErr w:type="gramEnd"/>
      <w:r w:rsidRPr="0092395B">
        <w:rPr>
          <w:sz w:val="24"/>
          <w:szCs w:val="24"/>
        </w:rPr>
        <w:t xml:space="preserve">A + B) = NPV(A) + NPV(B). </w:t>
      </w:r>
    </w:p>
    <w:p w14:paraId="448D03E7" w14:textId="77777777" w:rsidR="00662708" w:rsidRDefault="00662708" w:rsidP="00662708">
      <w:pPr>
        <w:pStyle w:val="Nadpis2"/>
        <w:numPr>
          <w:ilvl w:val="1"/>
          <w:numId w:val="2"/>
        </w:numPr>
        <w:tabs>
          <w:tab w:val="num" w:pos="360"/>
        </w:tabs>
        <w:spacing w:before="120" w:after="120" w:line="360" w:lineRule="auto"/>
        <w:ind w:left="0" w:firstLine="0"/>
        <w:rPr>
          <w:b/>
          <w:bCs/>
        </w:rPr>
      </w:pPr>
      <w:bookmarkStart w:id="2" w:name="_Toc76486894"/>
      <w:r w:rsidRPr="00F26974">
        <w:rPr>
          <w:b/>
          <w:bCs/>
        </w:rPr>
        <w:t>Vnitřní výnosová míra (</w:t>
      </w:r>
      <w:r w:rsidRPr="0061347F">
        <w:rPr>
          <w:b/>
          <w:bCs/>
        </w:rPr>
        <w:t>IRR</w:t>
      </w:r>
      <w:r w:rsidRPr="00F26974">
        <w:rPr>
          <w:b/>
          <w:bCs/>
        </w:rPr>
        <w:t>)</w:t>
      </w:r>
      <w:bookmarkEnd w:id="2"/>
    </w:p>
    <w:p w14:paraId="70DBA010" w14:textId="77777777" w:rsidR="00662708" w:rsidRPr="00F26974" w:rsidRDefault="00662708" w:rsidP="00662708">
      <w:pPr>
        <w:spacing w:after="120" w:line="360" w:lineRule="auto"/>
        <w:ind w:left="360" w:firstLine="284"/>
        <w:jc w:val="both"/>
        <w:rPr>
          <w:rFonts w:ascii="Times New Roman" w:hAnsi="Times New Roman"/>
          <w:sz w:val="24"/>
          <w:szCs w:val="24"/>
        </w:rPr>
      </w:pPr>
      <w:r w:rsidRPr="00F26974">
        <w:rPr>
          <w:rFonts w:ascii="Times New Roman" w:hAnsi="Times New Roman"/>
          <w:sz w:val="24"/>
          <w:szCs w:val="24"/>
        </w:rPr>
        <w:t>Vnitřní výnosová míra (</w:t>
      </w:r>
      <w:r w:rsidRPr="0061347F">
        <w:rPr>
          <w:rFonts w:ascii="Times New Roman" w:hAnsi="Times New Roman"/>
          <w:sz w:val="24"/>
          <w:szCs w:val="24"/>
        </w:rPr>
        <w:t>IRR</w:t>
      </w:r>
      <w:r w:rsidRPr="00F26974">
        <w:rPr>
          <w:rFonts w:ascii="Times New Roman" w:hAnsi="Times New Roman"/>
          <w:sz w:val="24"/>
          <w:szCs w:val="24"/>
        </w:rPr>
        <w:t xml:space="preserve">) je definována jako diskontní sazba, která vede k NPV rovné nula. To znamená, že k nalezení neznámé </w:t>
      </w:r>
      <w:r w:rsidRPr="0061347F">
        <w:rPr>
          <w:rFonts w:ascii="Times New Roman" w:hAnsi="Times New Roman"/>
          <w:sz w:val="24"/>
          <w:szCs w:val="24"/>
        </w:rPr>
        <w:t>IRR</w:t>
      </w:r>
      <w:r w:rsidRPr="00F26974">
        <w:rPr>
          <w:rFonts w:ascii="Times New Roman" w:hAnsi="Times New Roman"/>
          <w:sz w:val="24"/>
          <w:szCs w:val="24"/>
        </w:rPr>
        <w:t xml:space="preserve"> pro investiční projekt, trvající </w:t>
      </w:r>
      <w:r w:rsidRPr="00F26974">
        <w:rPr>
          <w:rFonts w:ascii="Times New Roman" w:hAnsi="Times New Roman"/>
          <w:i/>
          <w:sz w:val="24"/>
          <w:szCs w:val="24"/>
        </w:rPr>
        <w:t>n</w:t>
      </w:r>
      <w:r w:rsidRPr="00F26974">
        <w:rPr>
          <w:rFonts w:ascii="Times New Roman" w:hAnsi="Times New Roman"/>
          <w:sz w:val="24"/>
          <w:szCs w:val="24"/>
        </w:rPr>
        <w:t xml:space="preserve"> let potřebujeme vyřešit následující rovnici:</w:t>
      </w:r>
    </w:p>
    <w:p w14:paraId="34987C46" w14:textId="77777777" w:rsidR="00662708" w:rsidRPr="00F26974" w:rsidRDefault="00662708" w:rsidP="00662708">
      <w:pPr>
        <w:spacing w:after="120" w:line="360" w:lineRule="auto"/>
        <w:ind w:left="360" w:firstLine="284"/>
        <w:jc w:val="center"/>
        <w:rPr>
          <w:rFonts w:ascii="Times New Roman" w:hAnsi="Times New Roman"/>
          <w:sz w:val="24"/>
          <w:szCs w:val="24"/>
        </w:rPr>
      </w:pPr>
      <m:oMathPara>
        <m:oMath>
          <m:r>
            <w:rPr>
              <w:rFonts w:ascii="Cambria Math" w:hAnsi="Times New Roman"/>
              <w:sz w:val="24"/>
              <w:szCs w:val="24"/>
            </w:rPr>
            <m:t>NPV=</m:t>
          </m:r>
          <m:sSub>
            <m:sSubPr>
              <m:ctrlPr>
                <w:rPr>
                  <w:rFonts w:ascii="Cambria Math" w:hAnsi="Times New Roman"/>
                  <w:i/>
                  <w:sz w:val="24"/>
                  <w:szCs w:val="24"/>
                </w:rPr>
              </m:ctrlPr>
            </m:sSubPr>
            <m:e>
              <m:r>
                <w:rPr>
                  <w:rFonts w:ascii="Cambria Math" w:hAnsi="Times New Roman"/>
                  <w:sz w:val="24"/>
                  <w:szCs w:val="24"/>
                </w:rPr>
                <m:t>-</m:t>
              </m:r>
              <m:r>
                <w:rPr>
                  <w:rFonts w:ascii="Cambria Math" w:hAnsi="Times New Roman"/>
                  <w:sz w:val="24"/>
                  <w:szCs w:val="24"/>
                </w:rPr>
                <m:t>C</m:t>
              </m:r>
            </m:e>
            <m:sub>
              <m:r>
                <w:rPr>
                  <w:rFonts w:ascii="Cambria Math" w:hAnsi="Times New Roman"/>
                  <w:sz w:val="24"/>
                  <w:szCs w:val="24"/>
                </w:rPr>
                <m:t>0</m:t>
              </m:r>
            </m:sub>
          </m:sSub>
          <m: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CF</m:t>
                  </m:r>
                </m:e>
                <m:sub>
                  <m:r>
                    <w:rPr>
                      <w:rFonts w:ascii="Cambria Math" w:hAnsi="Times New Roman"/>
                      <w:sz w:val="24"/>
                      <w:szCs w:val="24"/>
                    </w:rPr>
                    <m:t>1</m:t>
                  </m:r>
                </m:sub>
              </m:sSub>
            </m:num>
            <m:den>
              <m:r>
                <w:rPr>
                  <w:rFonts w:ascii="Cambria Math" w:hAnsi="Times New Roman"/>
                  <w:sz w:val="24"/>
                  <w:szCs w:val="24"/>
                </w:rPr>
                <m:t>1+IRR</m:t>
              </m:r>
            </m:den>
          </m:f>
          <m: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CF</m:t>
                  </m:r>
                </m:e>
                <m:sub>
                  <m:r>
                    <w:rPr>
                      <w:rFonts w:ascii="Cambria Math" w:hAnsi="Times New Roman"/>
                      <w:sz w:val="24"/>
                      <w:szCs w:val="24"/>
                    </w:rPr>
                    <m:t>2</m:t>
                  </m:r>
                </m:sub>
              </m:sSub>
            </m:num>
            <m:den>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1+IRR</m:t>
                      </m:r>
                    </m:e>
                  </m:d>
                </m:e>
                <m:sup>
                  <m:r>
                    <w:rPr>
                      <w:rFonts w:ascii="Cambria Math" w:hAnsi="Times New Roman"/>
                      <w:sz w:val="24"/>
                      <w:szCs w:val="24"/>
                    </w:rPr>
                    <m:t>2</m:t>
                  </m:r>
                </m:sup>
              </m:sSup>
              <m:ctrlPr>
                <w:rPr>
                  <w:rFonts w:ascii="Cambria Math" w:hAnsi="Cambria Math"/>
                  <w:i/>
                  <w:sz w:val="24"/>
                  <w:szCs w:val="24"/>
                </w:rPr>
              </m:ctrlPr>
            </m:den>
          </m:f>
          <m:r>
            <w:rPr>
              <w:rFonts w:ascii="Cambria Math" w:hAnsi="Times New Roman"/>
              <w:sz w:val="24"/>
              <w:szCs w:val="24"/>
            </w:rPr>
            <m:t>+...+</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Times New Roman"/>
                      <w:sz w:val="24"/>
                      <w:szCs w:val="24"/>
                    </w:rPr>
                    <m:t>CF</m:t>
                  </m:r>
                </m:e>
                <m:sub>
                  <m:r>
                    <w:rPr>
                      <w:rFonts w:ascii="Cambria Math" w:hAnsi="Times New Roman"/>
                      <w:sz w:val="24"/>
                      <w:szCs w:val="24"/>
                    </w:rPr>
                    <m:t>n</m:t>
                  </m:r>
                </m:sub>
              </m:sSub>
            </m:num>
            <m:den>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1+IRR</m:t>
                      </m:r>
                    </m:e>
                  </m:d>
                </m:e>
                <m:sup>
                  <m:r>
                    <w:rPr>
                      <w:rFonts w:ascii="Cambria Math" w:hAnsi="Times New Roman"/>
                      <w:sz w:val="24"/>
                      <w:szCs w:val="24"/>
                    </w:rPr>
                    <m:t>n</m:t>
                  </m:r>
                </m:sup>
              </m:sSup>
              <m:ctrlPr>
                <w:rPr>
                  <w:rFonts w:ascii="Cambria Math" w:hAnsi="Cambria Math"/>
                  <w:i/>
                  <w:sz w:val="24"/>
                  <w:szCs w:val="24"/>
                </w:rPr>
              </m:ctrlPr>
            </m:den>
          </m:f>
          <m:r>
            <w:rPr>
              <w:rFonts w:ascii="Cambria Math" w:hAnsi="Times New Roman"/>
              <w:sz w:val="24"/>
              <w:szCs w:val="24"/>
            </w:rPr>
            <m:t>=0</m:t>
          </m:r>
        </m:oMath>
      </m:oMathPara>
    </w:p>
    <w:p w14:paraId="58E46A03" w14:textId="77777777" w:rsidR="00662708" w:rsidRDefault="00662708" w:rsidP="00662708">
      <w:pPr>
        <w:pStyle w:val="bakalarka-zakladnitext"/>
      </w:pPr>
      <w:r w:rsidRPr="0092395B">
        <w:t xml:space="preserve">Zatímco v případě kritéria NPV se počítá s již předem stanovenou diskontní sazbou </w:t>
      </w:r>
      <w:r w:rsidRPr="00F26974">
        <w:rPr>
          <w:i/>
          <w:iCs/>
        </w:rPr>
        <w:t>r</w:t>
      </w:r>
      <w:r>
        <w:t xml:space="preserve"> </w:t>
      </w:r>
      <w:r w:rsidRPr="0092395B">
        <w:t>jakožto požadovanou průměrnou roční výnosností, tak kritérium vnitřní výnosové míry se snaží zjistit maximální průměrnou roční výnosnost (IRR), kterou projekt nabízí.</w:t>
      </w:r>
    </w:p>
    <w:p w14:paraId="4DC3D419" w14:textId="77777777" w:rsidR="00662708" w:rsidRDefault="00662708" w:rsidP="00662708">
      <w:pPr>
        <w:pStyle w:val="bakalarka-zakladnitext"/>
      </w:pPr>
      <w:r w:rsidRPr="00EE68B6">
        <w:rPr>
          <w:iCs/>
        </w:rPr>
        <w:t>Rozhodovací pravidlo</w:t>
      </w:r>
      <w:r>
        <w:t xml:space="preserve"> založené na vnitřní výnosové míře říká: Využijte takových investičních příležitostí, které nabízejí </w:t>
      </w:r>
      <w:r w:rsidRPr="00E42631">
        <w:rPr>
          <w:u w:val="single"/>
        </w:rPr>
        <w:t xml:space="preserve">vyšší </w:t>
      </w:r>
      <w:r w:rsidRPr="0061347F">
        <w:rPr>
          <w:iCs/>
          <w:u w:val="single"/>
        </w:rPr>
        <w:t>IRR</w:t>
      </w:r>
      <w:r w:rsidRPr="00E42631">
        <w:rPr>
          <w:u w:val="single"/>
        </w:rPr>
        <w:t xml:space="preserve">, než </w:t>
      </w:r>
      <w:r>
        <w:rPr>
          <w:u w:val="single"/>
        </w:rPr>
        <w:t>je diskontní sazba</w:t>
      </w:r>
      <w:r w:rsidRPr="00E42631">
        <w:rPr>
          <w:u w:val="single"/>
        </w:rPr>
        <w:t xml:space="preserve"> </w:t>
      </w:r>
      <w:r>
        <w:rPr>
          <w:u w:val="single"/>
        </w:rPr>
        <w:t>(resp. alternativní</w:t>
      </w:r>
      <w:r w:rsidRPr="00E42631">
        <w:rPr>
          <w:u w:val="single"/>
        </w:rPr>
        <w:t xml:space="preserve"> náklady kapitálu</w:t>
      </w:r>
      <w:r>
        <w:rPr>
          <w:u w:val="single"/>
        </w:rPr>
        <w:t xml:space="preserve">), </w:t>
      </w:r>
      <w:r w:rsidRPr="00E42631">
        <w:rPr>
          <w:u w:val="single"/>
        </w:rPr>
        <w:t xml:space="preserve">tj. </w:t>
      </w:r>
      <w:proofErr w:type="gramStart"/>
      <w:r w:rsidRPr="0061347F">
        <w:rPr>
          <w:iCs/>
          <w:u w:val="single"/>
        </w:rPr>
        <w:t>IRR</w:t>
      </w:r>
      <w:r>
        <w:rPr>
          <w:i/>
          <w:u w:val="single"/>
        </w:rPr>
        <w:t xml:space="preserve"> </w:t>
      </w:r>
      <w:r w:rsidRPr="00E42631">
        <w:rPr>
          <w:u w:val="single"/>
        </w:rPr>
        <w:t>&gt;</w:t>
      </w:r>
      <w:proofErr w:type="gramEnd"/>
      <w:r w:rsidRPr="00E42631">
        <w:rPr>
          <w:u w:val="single"/>
        </w:rPr>
        <w:t xml:space="preserve"> </w:t>
      </w:r>
      <w:r w:rsidRPr="00E42631">
        <w:rPr>
          <w:i/>
          <w:u w:val="single"/>
        </w:rPr>
        <w:t>r</w:t>
      </w:r>
      <w:r>
        <w:t xml:space="preserve">. V případě porovnávání více investičních projektů splňujících toto pravidlo je </w:t>
      </w:r>
      <w:r w:rsidRPr="001849EE">
        <w:t>lepší</w:t>
      </w:r>
      <w:r>
        <w:t xml:space="preserve"> ta investice, která nabízí </w:t>
      </w:r>
      <w:r w:rsidRPr="001849EE">
        <w:t>vyšší</w:t>
      </w:r>
      <w:r>
        <w:t xml:space="preserve"> </w:t>
      </w:r>
      <w:r w:rsidRPr="0061347F">
        <w:rPr>
          <w:iCs/>
        </w:rPr>
        <w:t>IRR</w:t>
      </w:r>
      <w:r>
        <w:t>.</w:t>
      </w:r>
    </w:p>
    <w:p w14:paraId="6CACA935" w14:textId="77777777" w:rsidR="00662708" w:rsidRDefault="00662708" w:rsidP="00662708">
      <w:pPr>
        <w:pStyle w:val="bakalarka-zakladnitext"/>
      </w:pPr>
      <w:r w:rsidRPr="002C52A8">
        <w:t xml:space="preserve">IRR lze bez problémů použít tam, kde investice generuje konvenční peněžní toky, tj. znaménko u cash </w:t>
      </w:r>
      <w:proofErr w:type="spellStart"/>
      <w:r w:rsidRPr="002C52A8">
        <w:t>flow</w:t>
      </w:r>
      <w:proofErr w:type="spellEnd"/>
      <w:r w:rsidRPr="002C52A8">
        <w:t xml:space="preserve"> se mezi obdobími mění právě jednou počínaje investičním výdajem.</w:t>
      </w:r>
    </w:p>
    <w:p w14:paraId="36E44633" w14:textId="77777777" w:rsidR="00662708" w:rsidRDefault="00662708" w:rsidP="00662708">
      <w:pPr>
        <w:pStyle w:val="bakalarka-zakladnitext"/>
        <w:rPr>
          <w:rFonts w:eastAsiaTheme="minorEastAsia"/>
        </w:rPr>
      </w:pPr>
      <w:r w:rsidRPr="002C52A8">
        <w:rPr>
          <w:rFonts w:eastAsiaTheme="minorEastAsia"/>
        </w:rPr>
        <w:t xml:space="preserve">Při hledání </w:t>
      </w:r>
      <w:r w:rsidRPr="002C52A8">
        <w:rPr>
          <w:rFonts w:eastAsiaTheme="minorEastAsia"/>
          <w:iCs/>
        </w:rPr>
        <w:t>IRR</w:t>
      </w:r>
      <w:r w:rsidRPr="002C52A8">
        <w:rPr>
          <w:rFonts w:eastAsiaTheme="minorEastAsia"/>
        </w:rPr>
        <w:t xml:space="preserve"> </w:t>
      </w:r>
      <w:r>
        <w:rPr>
          <w:rFonts w:eastAsiaTheme="minorEastAsia"/>
        </w:rPr>
        <w:t>můžeme</w:t>
      </w:r>
      <w:r w:rsidRPr="002C52A8">
        <w:rPr>
          <w:rFonts w:eastAsiaTheme="minorEastAsia"/>
        </w:rPr>
        <w:t xml:space="preserve"> postupovat metodou </w:t>
      </w:r>
      <w:r w:rsidRPr="002C52A8">
        <w:rPr>
          <w:rFonts w:eastAsiaTheme="minorEastAsia"/>
          <w:i/>
        </w:rPr>
        <w:t>iterace</w:t>
      </w:r>
      <w:r w:rsidRPr="002C52A8">
        <w:rPr>
          <w:rFonts w:eastAsiaTheme="minorEastAsia"/>
        </w:rPr>
        <w:t xml:space="preserve">, kdy postupným dosazováním různých diskontních sazeb dojdeme k nulové hodnotě </w:t>
      </w:r>
      <w:r w:rsidRPr="005D6A86">
        <w:rPr>
          <w:rFonts w:eastAsiaTheme="minorEastAsia"/>
          <w:iCs/>
        </w:rPr>
        <w:t>NPV</w:t>
      </w:r>
      <w:r w:rsidRPr="002C52A8">
        <w:rPr>
          <w:rFonts w:eastAsiaTheme="minorEastAsia"/>
        </w:rPr>
        <w:t xml:space="preserve">. </w:t>
      </w:r>
    </w:p>
    <w:p w14:paraId="6E65D463" w14:textId="77777777" w:rsidR="00662708" w:rsidRPr="002C52A8" w:rsidRDefault="00662708" w:rsidP="00662708">
      <w:pPr>
        <w:pStyle w:val="bakalarka-zakladnitext"/>
      </w:pPr>
      <w:r w:rsidRPr="002C52A8">
        <w:rPr>
          <w:rFonts w:eastAsiaTheme="minorEastAsia"/>
        </w:rPr>
        <w:t xml:space="preserve">Postup </w:t>
      </w:r>
      <w:r>
        <w:rPr>
          <w:rFonts w:eastAsiaTheme="minorEastAsia"/>
        </w:rPr>
        <w:t>je možné</w:t>
      </w:r>
      <w:r w:rsidRPr="002C52A8">
        <w:rPr>
          <w:rFonts w:eastAsiaTheme="minorEastAsia"/>
        </w:rPr>
        <w:t xml:space="preserve"> urychlit použitím metody </w:t>
      </w:r>
      <w:r w:rsidRPr="002C52A8">
        <w:rPr>
          <w:rFonts w:eastAsiaTheme="minorEastAsia"/>
          <w:i/>
        </w:rPr>
        <w:t>lineární interpolace</w:t>
      </w:r>
      <w:r w:rsidRPr="002C52A8">
        <w:rPr>
          <w:rFonts w:eastAsiaTheme="minorEastAsia"/>
        </w:rPr>
        <w:t xml:space="preserve"> odvozené z podobnosti dvou trojúhelníků (viz </w:t>
      </w:r>
      <w:r>
        <w:rPr>
          <w:rFonts w:eastAsiaTheme="minorEastAsia"/>
        </w:rPr>
        <w:t>obr. 6</w:t>
      </w:r>
      <w:r w:rsidRPr="002C52A8">
        <w:rPr>
          <w:rFonts w:eastAsiaTheme="minorEastAsia"/>
        </w:rPr>
        <w:t xml:space="preserve">), </w:t>
      </w:r>
      <w:r>
        <w:rPr>
          <w:rFonts w:eastAsiaTheme="minorEastAsia"/>
        </w:rPr>
        <w:t>pro kterou platí tento vztah:</w:t>
      </w:r>
    </w:p>
    <w:p w14:paraId="5391CD34" w14:textId="77777777" w:rsidR="00662708" w:rsidRPr="002C52A8" w:rsidRDefault="00662708" w:rsidP="00662708">
      <w:pPr>
        <w:spacing w:after="120" w:line="360" w:lineRule="auto"/>
        <w:ind w:firstLine="284"/>
        <w:jc w:val="center"/>
        <w:rPr>
          <w:rFonts w:ascii="Times New Roman" w:eastAsiaTheme="minorEastAsia" w:hAnsi="Times New Roman" w:cs="Times New Roman"/>
          <w:sz w:val="24"/>
          <w:szCs w:val="24"/>
        </w:rPr>
      </w:pPr>
      <w:r w:rsidRPr="002C52A8">
        <w:rPr>
          <w:rFonts w:ascii="Times New Roman" w:eastAsiaTheme="minorEastAsia" w:hAnsi="Times New Roman" w:cs="Times New Roman"/>
          <w:position w:val="-30"/>
          <w:sz w:val="24"/>
          <w:szCs w:val="24"/>
        </w:rPr>
        <w:object w:dxaOrig="3540" w:dyaOrig="700" w14:anchorId="627F4EAF">
          <v:shape id="_x0000_i1026" type="#_x0000_t75" style="width:180.75pt;height:36.75pt" o:ole="">
            <v:imagedata r:id="rId9" o:title=""/>
          </v:shape>
          <o:OLEObject Type="Embed" ProgID="Equation.3" ShapeID="_x0000_i1026" DrawAspect="Content" ObjectID="_1719127272" r:id="rId10"/>
        </w:object>
      </w:r>
    </w:p>
    <w:p w14:paraId="1B7A2BD2" w14:textId="77777777" w:rsidR="00662708" w:rsidRPr="002C52A8" w:rsidRDefault="00662708" w:rsidP="00662708">
      <w:pPr>
        <w:spacing w:after="120" w:line="360"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Jeho úpravou pro vyjádření odhadu</w:t>
      </w:r>
      <w:r w:rsidRPr="002C52A8">
        <w:rPr>
          <w:rFonts w:ascii="Times New Roman" w:eastAsiaTheme="minorEastAsia" w:hAnsi="Times New Roman" w:cs="Times New Roman"/>
          <w:sz w:val="24"/>
          <w:szCs w:val="24"/>
        </w:rPr>
        <w:t xml:space="preserve"> </w:t>
      </w:r>
      <w:r w:rsidRPr="002C52A8">
        <w:rPr>
          <w:rFonts w:ascii="Times New Roman" w:eastAsiaTheme="minorEastAsia" w:hAnsi="Times New Roman" w:cs="Times New Roman"/>
          <w:iCs/>
          <w:sz w:val="24"/>
          <w:szCs w:val="24"/>
        </w:rPr>
        <w:t>IRR</w:t>
      </w:r>
      <w:r w:rsidRPr="002C52A8">
        <w:rPr>
          <w:rFonts w:ascii="Times New Roman" w:eastAsiaTheme="minorEastAsia" w:hAnsi="Times New Roman" w:cs="Times New Roman"/>
          <w:sz w:val="24"/>
          <w:szCs w:val="24"/>
        </w:rPr>
        <w:t xml:space="preserve"> dostáváme:</w:t>
      </w:r>
    </w:p>
    <w:p w14:paraId="38EFC84B" w14:textId="77777777" w:rsidR="00662708" w:rsidRPr="002C52A8" w:rsidRDefault="00662708" w:rsidP="00662708">
      <w:pPr>
        <w:spacing w:after="120" w:line="360" w:lineRule="auto"/>
        <w:ind w:firstLine="284"/>
        <w:jc w:val="both"/>
        <w:rPr>
          <w:rFonts w:ascii="Times New Roman" w:eastAsiaTheme="minorEastAsia" w:hAnsi="Times New Roman" w:cs="Times New Roman"/>
          <w:b/>
          <w:sz w:val="24"/>
          <w:szCs w:val="24"/>
        </w:rPr>
      </w:pPr>
      <m:oMathPara>
        <m:oMath>
          <m:r>
            <m:rPr>
              <m:sty m:val="bi"/>
            </m:rPr>
            <w:rPr>
              <w:rFonts w:ascii="Cambria Math" w:eastAsiaTheme="minorEastAsia" w:hAnsi="Cambria Math" w:cs="Times New Roman"/>
              <w:sz w:val="24"/>
              <w:szCs w:val="24"/>
            </w:rPr>
            <m:t xml:space="preserve">IRR=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n</m:t>
              </m:r>
            </m:sub>
          </m:sSub>
          <m:r>
            <m:rPr>
              <m:sty m:val="bi"/>
            </m:rPr>
            <w:rPr>
              <w:rFonts w:ascii="Cambria Math" w:eastAsiaTheme="minorEastAsia" w:hAnsi="Cambria Math" w:cs="Times New Roman"/>
              <w:sz w:val="24"/>
              <w:szCs w:val="24"/>
            </w:rPr>
            <m:t xml:space="preserve">+ </m:t>
          </m:r>
          <m:f>
            <m:fPr>
              <m:ctrlPr>
                <w:rPr>
                  <w:rFonts w:ascii="Cambria Math" w:eastAsiaTheme="minorEastAsia" w:hAnsi="Cambria Math" w:cs="Times New Roman"/>
                  <w:b/>
                  <w:i/>
                  <w:sz w:val="24"/>
                  <w:szCs w:val="24"/>
                </w:rPr>
              </m:ctrlPr>
            </m:fPr>
            <m:num>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NPV</m:t>
                  </m:r>
                </m:e>
                <m:sub>
                  <m:r>
                    <m:rPr>
                      <m:sty m:val="bi"/>
                    </m:rPr>
                    <w:rPr>
                      <w:rFonts w:ascii="Cambria Math" w:eastAsiaTheme="minorEastAsia" w:hAnsi="Cambria Math" w:cs="Times New Roman"/>
                      <w:sz w:val="24"/>
                      <w:szCs w:val="24"/>
                    </w:rPr>
                    <m:t>n</m:t>
                  </m:r>
                </m:sub>
              </m:sSub>
            </m:num>
            <m:den>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NPV</m:t>
                  </m:r>
                </m:e>
                <m:sub>
                  <m:r>
                    <m:rPr>
                      <m:sty m:val="bi"/>
                    </m:rPr>
                    <w:rPr>
                      <w:rFonts w:ascii="Cambria Math" w:eastAsiaTheme="minorEastAsia" w:hAnsi="Cambria Math" w:cs="Times New Roman"/>
                      <w:sz w:val="24"/>
                      <w:szCs w:val="24"/>
                    </w:rPr>
                    <m:t>n</m:t>
                  </m:r>
                </m:sub>
              </m:sSub>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NPV</m:t>
                  </m:r>
                </m:e>
                <m:sub>
                  <m:r>
                    <m:rPr>
                      <m:sty m:val="bi"/>
                    </m:rPr>
                    <w:rPr>
                      <w:rFonts w:ascii="Cambria Math" w:eastAsiaTheme="minorEastAsia" w:hAnsi="Cambria Math" w:cs="Times New Roman"/>
                      <w:sz w:val="24"/>
                      <w:szCs w:val="24"/>
                    </w:rPr>
                    <m:t>v</m:t>
                  </m:r>
                </m:sub>
              </m:sSub>
            </m:den>
          </m:f>
          <m:r>
            <m:rPr>
              <m:sty m:val="bi"/>
            </m:rPr>
            <w:rPr>
              <w:rFonts w:ascii="Cambria Math" w:eastAsiaTheme="minorEastAsia" w:hAnsi="Cambria Math" w:cs="Times New Roman"/>
              <w:sz w:val="24"/>
              <w:szCs w:val="24"/>
            </w:rPr>
            <m:t xml:space="preserve"> ˙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v</m:t>
              </m:r>
            </m:sub>
          </m:sSub>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i</m:t>
              </m:r>
            </m:e>
            <m:sub>
              <m:r>
                <m:rPr>
                  <m:sty m:val="bi"/>
                </m:rPr>
                <w:rPr>
                  <w:rFonts w:ascii="Cambria Math" w:eastAsiaTheme="minorEastAsia" w:hAnsi="Cambria Math" w:cs="Times New Roman"/>
                  <w:sz w:val="24"/>
                  <w:szCs w:val="24"/>
                </w:rPr>
                <m:t>n</m:t>
              </m:r>
            </m:sub>
          </m:sSub>
          <m:r>
            <m:rPr>
              <m:sty m:val="bi"/>
            </m:rPr>
            <w:rPr>
              <w:rFonts w:ascii="Cambria Math" w:eastAsiaTheme="minorEastAsia" w:hAnsi="Cambria Math" w:cs="Times New Roman"/>
              <w:sz w:val="24"/>
              <w:szCs w:val="24"/>
            </w:rPr>
            <m:t>)</m:t>
          </m:r>
        </m:oMath>
      </m:oMathPara>
    </w:p>
    <w:p w14:paraId="61E3B724" w14:textId="77777777" w:rsidR="00662708" w:rsidRPr="002C52A8" w:rsidRDefault="00662708" w:rsidP="00662708">
      <w:pPr>
        <w:spacing w:after="120" w:line="360" w:lineRule="auto"/>
        <w:ind w:firstLine="284"/>
        <w:jc w:val="both"/>
        <w:rPr>
          <w:rFonts w:ascii="Times New Roman" w:eastAsiaTheme="minorEastAsia" w:hAnsi="Times New Roman" w:cs="Times New Roman"/>
          <w:sz w:val="24"/>
          <w:szCs w:val="24"/>
        </w:rPr>
      </w:pPr>
      <w:r w:rsidRPr="002C52A8">
        <w:rPr>
          <w:rFonts w:ascii="Times New Roman" w:eastAsiaTheme="minorEastAsia" w:hAnsi="Times New Roman" w:cs="Times New Roman"/>
          <w:sz w:val="24"/>
          <w:szCs w:val="24"/>
        </w:rPr>
        <w:t xml:space="preserve">kde </w:t>
      </w:r>
      <w:r w:rsidRPr="002C52A8">
        <w:rPr>
          <w:rFonts w:ascii="Times New Roman" w:eastAsiaTheme="minorEastAsia" w:hAnsi="Times New Roman" w:cs="Times New Roman"/>
          <w:i/>
          <w:sz w:val="24"/>
          <w:szCs w:val="24"/>
        </w:rPr>
        <w:t>i</w:t>
      </w:r>
      <w:r w:rsidRPr="002C52A8">
        <w:rPr>
          <w:rFonts w:ascii="Times New Roman" w:eastAsiaTheme="minorEastAsia" w:hAnsi="Times New Roman" w:cs="Times New Roman"/>
          <w:i/>
          <w:sz w:val="24"/>
          <w:szCs w:val="24"/>
          <w:vertAlign w:val="subscript"/>
        </w:rPr>
        <w:t xml:space="preserve">n </w:t>
      </w:r>
      <w:r>
        <w:rPr>
          <w:rFonts w:ascii="Times New Roman" w:eastAsiaTheme="minorEastAsia" w:hAnsi="Times New Roman" w:cs="Times New Roman"/>
          <w:sz w:val="24"/>
          <w:szCs w:val="24"/>
        </w:rPr>
        <w:t>je</w:t>
      </w:r>
      <w:r w:rsidRPr="002C52A8">
        <w:rPr>
          <w:rFonts w:ascii="Times New Roman" w:eastAsiaTheme="minorEastAsia" w:hAnsi="Times New Roman" w:cs="Times New Roman"/>
          <w:sz w:val="24"/>
          <w:szCs w:val="24"/>
        </w:rPr>
        <w:t xml:space="preserve"> nižší diskontní sazba, která zaručuje kladnou hodnotu </w:t>
      </w:r>
      <w:proofErr w:type="spellStart"/>
      <w:r w:rsidRPr="002C52A8">
        <w:rPr>
          <w:rFonts w:ascii="Times New Roman" w:eastAsiaTheme="minorEastAsia" w:hAnsi="Times New Roman" w:cs="Times New Roman"/>
          <w:i/>
          <w:sz w:val="24"/>
          <w:szCs w:val="24"/>
        </w:rPr>
        <w:t>NPV</w:t>
      </w:r>
      <w:r w:rsidRPr="002C52A8">
        <w:rPr>
          <w:rFonts w:ascii="Times New Roman" w:eastAsiaTheme="minorEastAsia" w:hAnsi="Times New Roman" w:cs="Times New Roman"/>
          <w:i/>
          <w:sz w:val="24"/>
          <w:szCs w:val="24"/>
          <w:vertAlign w:val="subscript"/>
        </w:rPr>
        <w:t>n</w:t>
      </w:r>
      <w:proofErr w:type="spellEnd"/>
      <w:r w:rsidRPr="002C52A8">
        <w:rPr>
          <w:rFonts w:ascii="Times New Roman" w:eastAsiaTheme="minorEastAsia" w:hAnsi="Times New Roman" w:cs="Times New Roman"/>
          <w:sz w:val="24"/>
          <w:szCs w:val="24"/>
        </w:rPr>
        <w:t xml:space="preserve">, </w:t>
      </w:r>
      <w:proofErr w:type="spellStart"/>
      <w:r w:rsidRPr="002C52A8">
        <w:rPr>
          <w:rFonts w:ascii="Times New Roman" w:eastAsiaTheme="minorEastAsia" w:hAnsi="Times New Roman" w:cs="Times New Roman"/>
          <w:i/>
          <w:sz w:val="24"/>
          <w:szCs w:val="24"/>
        </w:rPr>
        <w:t>i</w:t>
      </w:r>
      <w:r w:rsidRPr="002C52A8">
        <w:rPr>
          <w:rFonts w:ascii="Times New Roman" w:eastAsiaTheme="minorEastAsia" w:hAnsi="Times New Roman" w:cs="Times New Roman"/>
          <w:i/>
          <w:sz w:val="24"/>
          <w:szCs w:val="24"/>
          <w:vertAlign w:val="subscript"/>
        </w:rPr>
        <w:t>v</w:t>
      </w:r>
      <w:proofErr w:type="spellEnd"/>
      <w:r w:rsidRPr="002C52A8">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je</w:t>
      </w:r>
      <w:r w:rsidRPr="002C52A8">
        <w:rPr>
          <w:rFonts w:ascii="Times New Roman" w:eastAsiaTheme="minorEastAsia" w:hAnsi="Times New Roman" w:cs="Times New Roman"/>
          <w:sz w:val="24"/>
          <w:szCs w:val="24"/>
        </w:rPr>
        <w:t xml:space="preserve"> vyšší diskontní sazba, která zaručuje zápornou hodnotu </w:t>
      </w:r>
      <w:proofErr w:type="spellStart"/>
      <w:r w:rsidRPr="002C52A8">
        <w:rPr>
          <w:rFonts w:ascii="Times New Roman" w:eastAsiaTheme="minorEastAsia" w:hAnsi="Times New Roman" w:cs="Times New Roman"/>
          <w:i/>
          <w:sz w:val="24"/>
          <w:szCs w:val="24"/>
        </w:rPr>
        <w:t>NPV</w:t>
      </w:r>
      <w:r w:rsidRPr="002C52A8">
        <w:rPr>
          <w:rFonts w:ascii="Times New Roman" w:eastAsiaTheme="minorEastAsia" w:hAnsi="Times New Roman" w:cs="Times New Roman"/>
          <w:i/>
          <w:sz w:val="24"/>
          <w:szCs w:val="24"/>
          <w:vertAlign w:val="subscript"/>
        </w:rPr>
        <w:t>v</w:t>
      </w:r>
      <w:proofErr w:type="spellEnd"/>
      <w:r w:rsidRPr="002C52A8">
        <w:rPr>
          <w:rFonts w:ascii="Times New Roman" w:eastAsiaTheme="minorEastAsia" w:hAnsi="Times New Roman" w:cs="Times New Roman"/>
          <w:sz w:val="24"/>
          <w:szCs w:val="24"/>
        </w:rPr>
        <w:t>.</w:t>
      </w:r>
    </w:p>
    <w:p w14:paraId="77F5CE5F" w14:textId="77777777" w:rsidR="00662708" w:rsidRPr="002C52A8" w:rsidRDefault="00662708" w:rsidP="00662708">
      <w:pPr>
        <w:spacing w:after="120" w:line="360" w:lineRule="auto"/>
        <w:ind w:firstLine="284"/>
        <w:jc w:val="both"/>
        <w:rPr>
          <w:rFonts w:ascii="Times New Roman" w:eastAsiaTheme="minorEastAsia" w:hAnsi="Times New Roman" w:cs="Times New Roman"/>
          <w:b/>
          <w:sz w:val="24"/>
          <w:szCs w:val="24"/>
        </w:rPr>
      </w:pPr>
      <w:r w:rsidRPr="002C52A8">
        <w:rPr>
          <w:rFonts w:ascii="Times New Roman" w:eastAsiaTheme="minorEastAsia" w:hAnsi="Times New Roman" w:cs="Times New Roman"/>
          <w:b/>
          <w:sz w:val="24"/>
          <w:szCs w:val="24"/>
        </w:rPr>
        <w:t xml:space="preserve">Obrázek </w:t>
      </w:r>
      <w:r>
        <w:rPr>
          <w:rFonts w:ascii="Times New Roman" w:eastAsiaTheme="minorEastAsia" w:hAnsi="Times New Roman" w:cs="Times New Roman"/>
          <w:b/>
          <w:sz w:val="24"/>
          <w:szCs w:val="24"/>
        </w:rPr>
        <w:t>6.</w:t>
      </w:r>
      <w:r w:rsidRPr="002C52A8">
        <w:rPr>
          <w:rFonts w:ascii="Times New Roman" w:eastAsiaTheme="minorEastAsia" w:hAnsi="Times New Roman" w:cs="Times New Roman"/>
          <w:b/>
          <w:sz w:val="24"/>
          <w:szCs w:val="24"/>
        </w:rPr>
        <w:t xml:space="preserve"> Princip výpočtu </w:t>
      </w:r>
      <w:r w:rsidRPr="002C52A8">
        <w:rPr>
          <w:rFonts w:ascii="Times New Roman" w:eastAsiaTheme="minorEastAsia" w:hAnsi="Times New Roman" w:cs="Times New Roman"/>
          <w:b/>
          <w:iCs/>
          <w:sz w:val="24"/>
          <w:szCs w:val="24"/>
        </w:rPr>
        <w:t>IRR</w:t>
      </w:r>
      <w:r w:rsidRPr="002C52A8">
        <w:rPr>
          <w:rFonts w:ascii="Times New Roman" w:eastAsiaTheme="minorEastAsia" w:hAnsi="Times New Roman" w:cs="Times New Roman"/>
          <w:b/>
          <w:sz w:val="24"/>
          <w:szCs w:val="24"/>
        </w:rPr>
        <w:t xml:space="preserve"> lineární interpolací vycházející z podobnosti dvou trojúhelníků</w:t>
      </w:r>
    </w:p>
    <w:p w14:paraId="2BFAFABD" w14:textId="77777777" w:rsidR="00662708" w:rsidRPr="002C52A8" w:rsidRDefault="00662708" w:rsidP="00662708">
      <w:pPr>
        <w:spacing w:after="120" w:line="360" w:lineRule="auto"/>
        <w:ind w:firstLine="284"/>
        <w:jc w:val="center"/>
        <w:rPr>
          <w:rFonts w:ascii="Times New Roman" w:hAnsi="Times New Roman" w:cs="Times New Roman"/>
          <w:sz w:val="24"/>
          <w:szCs w:val="24"/>
        </w:rPr>
      </w:pPr>
      <w:r w:rsidRPr="002C52A8">
        <w:rPr>
          <w:rFonts w:ascii="Times New Roman" w:hAnsi="Times New Roman" w:cs="Times New Roman"/>
          <w:noProof/>
          <w:sz w:val="24"/>
          <w:szCs w:val="24"/>
          <w:lang w:eastAsia="cs-CZ"/>
        </w:rPr>
        <w:lastRenderedPageBreak/>
        <w:drawing>
          <wp:inline distT="0" distB="0" distL="0" distR="0" wp14:anchorId="77904D55" wp14:editId="75F3AD76">
            <wp:extent cx="4110990" cy="3861424"/>
            <wp:effectExtent l="0" t="0" r="3810" b="635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26479" cy="3875972"/>
                    </a:xfrm>
                    <a:prstGeom prst="rect">
                      <a:avLst/>
                    </a:prstGeom>
                    <a:noFill/>
                    <a:ln>
                      <a:noFill/>
                    </a:ln>
                  </pic:spPr>
                </pic:pic>
              </a:graphicData>
            </a:graphic>
          </wp:inline>
        </w:drawing>
      </w:r>
    </w:p>
    <w:p w14:paraId="5671F19C" w14:textId="77777777" w:rsidR="00662708" w:rsidRPr="002C52A8" w:rsidRDefault="00662708" w:rsidP="00662708">
      <w:pPr>
        <w:spacing w:after="120" w:line="360" w:lineRule="auto"/>
        <w:ind w:firstLine="284"/>
        <w:rPr>
          <w:rFonts w:ascii="Times New Roman" w:hAnsi="Times New Roman" w:cs="Times New Roman"/>
          <w:sz w:val="24"/>
          <w:szCs w:val="24"/>
        </w:rPr>
      </w:pPr>
      <w:r w:rsidRPr="002C52A8">
        <w:rPr>
          <w:rFonts w:ascii="Times New Roman" w:hAnsi="Times New Roman" w:cs="Times New Roman"/>
          <w:sz w:val="24"/>
          <w:szCs w:val="24"/>
        </w:rPr>
        <w:t>Zdroj: vlastní zpracování</w:t>
      </w:r>
    </w:p>
    <w:p w14:paraId="6C4EDC6A" w14:textId="77777777" w:rsidR="00662708" w:rsidRDefault="00662708" w:rsidP="00662708">
      <w:pPr>
        <w:pStyle w:val="bakalarka-zakladnitext"/>
      </w:pPr>
      <w:r>
        <w:t xml:space="preserve">Interpretace </w:t>
      </w:r>
      <w:r w:rsidRPr="0061347F">
        <w:rPr>
          <w:iCs/>
        </w:rPr>
        <w:t>IRR</w:t>
      </w:r>
      <w:r>
        <w:t xml:space="preserve"> zejména u dlouhodobých investičních projektů však nebývá vždy jednoduchá. Je třeba zdůraznit, že obě zmíněná kritéria, tj. </w:t>
      </w:r>
      <w:r>
        <w:rPr>
          <w:i/>
        </w:rPr>
        <w:t xml:space="preserve">kritérium maximální NPV </w:t>
      </w:r>
      <w:r>
        <w:t xml:space="preserve">a </w:t>
      </w:r>
      <w:r>
        <w:rPr>
          <w:i/>
        </w:rPr>
        <w:t>kritérium maximálního IRR</w:t>
      </w:r>
      <w:r>
        <w:t xml:space="preserve">, pokud jsou řádně formulována, jsou z formálního hlediska totožná, tj. stejně dobrá, a vnitřně spolu úzce souvisí. Fakt, že uvedenou rovnici pro výpočet </w:t>
      </w:r>
      <w:r w:rsidRPr="002C52A8">
        <w:rPr>
          <w:iCs/>
        </w:rPr>
        <w:t>IRR</w:t>
      </w:r>
      <w:r>
        <w:t xml:space="preserve"> nelze v obecném případě vyřešit analytickými postupy, ale pouze iteračními metodami, není v době počítačů problémem. Také „odhad“ IRR, který nabízí metoda lineární interpolace, není problém. Více </w:t>
      </w:r>
      <w:r>
        <w:rPr>
          <w:i/>
        </w:rPr>
        <w:t xml:space="preserve">postrádáme vlastnost </w:t>
      </w:r>
      <w:proofErr w:type="spellStart"/>
      <w:r>
        <w:rPr>
          <w:i/>
        </w:rPr>
        <w:t>aditivity</w:t>
      </w:r>
      <w:proofErr w:type="spellEnd"/>
      <w:r>
        <w:t xml:space="preserve">, bez níž lze těžko odhadnout, zdali si sloučením více projektů firma polepší či pohorší. </w:t>
      </w:r>
    </w:p>
    <w:p w14:paraId="286ABA2E" w14:textId="77777777" w:rsidR="00662708" w:rsidRDefault="00662708" w:rsidP="00662708">
      <w:pPr>
        <w:pStyle w:val="Nadpis2"/>
        <w:numPr>
          <w:ilvl w:val="1"/>
          <w:numId w:val="2"/>
        </w:numPr>
        <w:tabs>
          <w:tab w:val="num" w:pos="360"/>
        </w:tabs>
        <w:spacing w:before="120" w:after="120" w:line="360" w:lineRule="auto"/>
        <w:ind w:left="0" w:firstLine="0"/>
        <w:rPr>
          <w:b/>
          <w:bCs/>
        </w:rPr>
      </w:pPr>
      <w:bookmarkStart w:id="3" w:name="_Toc76486895"/>
      <w:r w:rsidRPr="00604F7C">
        <w:rPr>
          <w:b/>
          <w:bCs/>
        </w:rPr>
        <w:t>Index ziskovosti (</w:t>
      </w:r>
      <w:proofErr w:type="spellStart"/>
      <w:r w:rsidRPr="00604F7C">
        <w:rPr>
          <w:b/>
          <w:bCs/>
        </w:rPr>
        <w:t>I</w:t>
      </w:r>
      <w:r w:rsidRPr="00604F7C">
        <w:rPr>
          <w:b/>
          <w:bCs/>
          <w:vertAlign w:val="subscript"/>
        </w:rPr>
        <w:t>z</w:t>
      </w:r>
      <w:proofErr w:type="spellEnd"/>
      <w:r w:rsidRPr="00604F7C">
        <w:rPr>
          <w:b/>
          <w:bCs/>
        </w:rPr>
        <w:t>)</w:t>
      </w:r>
      <w:bookmarkEnd w:id="3"/>
    </w:p>
    <w:p w14:paraId="2175514D" w14:textId="77777777" w:rsidR="00662708" w:rsidRPr="0092395B" w:rsidRDefault="00662708" w:rsidP="00662708">
      <w:pPr>
        <w:spacing w:after="120" w:line="360" w:lineRule="auto"/>
        <w:ind w:firstLine="284"/>
        <w:jc w:val="both"/>
        <w:rPr>
          <w:rFonts w:ascii="Times New Roman" w:hAnsi="Times New Roman"/>
          <w:sz w:val="24"/>
          <w:szCs w:val="24"/>
        </w:rPr>
      </w:pPr>
      <w:r w:rsidRPr="0092395B">
        <w:rPr>
          <w:rFonts w:ascii="Times New Roman" w:hAnsi="Times New Roman"/>
          <w:sz w:val="24"/>
          <w:szCs w:val="24"/>
        </w:rPr>
        <w:t>Obdobou kritéria čisté současné hodnoty je index ziskovosti. Lze jej matematicky popsat jako</w:t>
      </w:r>
      <w:r>
        <w:rPr>
          <w:rFonts w:ascii="Times New Roman" w:hAnsi="Times New Roman"/>
          <w:sz w:val="24"/>
          <w:szCs w:val="24"/>
        </w:rPr>
        <w:t xml:space="preserve"> </w:t>
      </w:r>
      <w:r w:rsidRPr="0092395B">
        <w:rPr>
          <w:rFonts w:ascii="Times New Roman" w:hAnsi="Times New Roman"/>
          <w:sz w:val="24"/>
          <w:szCs w:val="24"/>
        </w:rPr>
        <w:t xml:space="preserve">poměr současné hodnoty prognózovaných budoucích toků hotovosti ku počáteční investici: </w:t>
      </w:r>
    </w:p>
    <w:p w14:paraId="2CBCC19A" w14:textId="77777777" w:rsidR="00662708" w:rsidRPr="0061347F" w:rsidRDefault="00662708" w:rsidP="00662708">
      <w:pPr>
        <w:spacing w:after="120" w:line="360" w:lineRule="auto"/>
        <w:ind w:firstLine="284"/>
        <w:jc w:val="center"/>
        <w:rPr>
          <w:rFonts w:ascii="Times New Roman" w:hAnsi="Times New Roman"/>
          <w:i/>
          <w:iCs/>
          <w:sz w:val="24"/>
          <w:szCs w:val="24"/>
        </w:rPr>
      </w:pPr>
      <w:r w:rsidRPr="0061347F">
        <w:rPr>
          <w:rFonts w:ascii="Times New Roman" w:hAnsi="Times New Roman"/>
          <w:i/>
          <w:iCs/>
          <w:position w:val="-30"/>
          <w:sz w:val="24"/>
          <w:szCs w:val="24"/>
        </w:rPr>
        <w:object w:dxaOrig="940" w:dyaOrig="680" w14:anchorId="48FA7F24">
          <v:shape id="_x0000_i1027" type="#_x0000_t75" style="width:47.25pt;height:33.75pt" o:ole="">
            <v:imagedata r:id="rId12" o:title=""/>
          </v:shape>
          <o:OLEObject Type="Embed" ProgID="Equation.DSMT4" ShapeID="_x0000_i1027" DrawAspect="Content" ObjectID="_1719127273" r:id="rId13"/>
        </w:object>
      </w:r>
    </w:p>
    <w:p w14:paraId="605C077C" w14:textId="77777777" w:rsidR="00662708" w:rsidRPr="0092395B" w:rsidRDefault="00662708" w:rsidP="00662708">
      <w:pPr>
        <w:spacing w:after="120" w:line="360" w:lineRule="auto"/>
        <w:ind w:firstLine="284"/>
        <w:jc w:val="both"/>
        <w:rPr>
          <w:rFonts w:ascii="Times New Roman" w:hAnsi="Times New Roman"/>
          <w:sz w:val="24"/>
          <w:szCs w:val="24"/>
        </w:rPr>
      </w:pPr>
      <w:r w:rsidRPr="0092395B">
        <w:rPr>
          <w:rFonts w:ascii="Times New Roman" w:hAnsi="Times New Roman"/>
          <w:sz w:val="24"/>
          <w:szCs w:val="24"/>
        </w:rPr>
        <w:t xml:space="preserve">Pravidlo indexu říká, že firmy by měly přijmout projekty pouze tehdy, je-li poměr diskontovaných budoucích hotovostních toků k počáteční investici větší než 1. Je-li PV </w:t>
      </w:r>
      <w:r w:rsidRPr="0092395B">
        <w:rPr>
          <w:rFonts w:ascii="Times New Roman" w:hAnsi="Times New Roman"/>
          <w:sz w:val="24"/>
          <w:szCs w:val="24"/>
        </w:rPr>
        <w:lastRenderedPageBreak/>
        <w:t xml:space="preserve">projektu větší než počáteční investice, projekt musí mít kladnou čistou současnou hodnotu. Index tedy vede ke stejným rozhodnutím jako NPV. Stinnou stránkou jeho použití je, že poměry </w:t>
      </w:r>
      <w:r w:rsidRPr="0061347F">
        <w:rPr>
          <w:rFonts w:ascii="Times New Roman" w:hAnsi="Times New Roman"/>
          <w:position w:val="-30"/>
          <w:sz w:val="24"/>
          <w:szCs w:val="24"/>
        </w:rPr>
        <w:object w:dxaOrig="499" w:dyaOrig="680" w14:anchorId="4CEC73AD">
          <v:shape id="_x0000_i1028" type="#_x0000_t75" style="width:24.75pt;height:33.75pt" o:ole="">
            <v:imagedata r:id="rId14" o:title=""/>
          </v:shape>
          <o:OLEObject Type="Embed" ProgID="Equation.DSMT4" ShapeID="_x0000_i1028" DrawAspect="Content" ObjectID="_1719127274" r:id="rId15"/>
        </w:object>
      </w:r>
      <w:r w:rsidRPr="0061347F">
        <w:rPr>
          <w:rFonts w:ascii="Times New Roman" w:hAnsi="Times New Roman"/>
          <w:sz w:val="24"/>
          <w:szCs w:val="24"/>
        </w:rPr>
        <w:t xml:space="preserve"> </w:t>
      </w:r>
      <w:r w:rsidRPr="0092395B">
        <w:rPr>
          <w:rFonts w:ascii="Times New Roman" w:hAnsi="Times New Roman"/>
          <w:sz w:val="24"/>
          <w:szCs w:val="24"/>
        </w:rPr>
        <w:t>různých projektů narozdíl od současných hodnot nemůžeme sčítat.</w:t>
      </w:r>
    </w:p>
    <w:p w14:paraId="45981862" w14:textId="77777777" w:rsidR="00662708" w:rsidRDefault="00662708" w:rsidP="00662708">
      <w:pPr>
        <w:pStyle w:val="Nadpis2"/>
        <w:numPr>
          <w:ilvl w:val="1"/>
          <w:numId w:val="2"/>
        </w:numPr>
        <w:tabs>
          <w:tab w:val="num" w:pos="360"/>
        </w:tabs>
        <w:spacing w:before="120" w:after="120" w:line="360" w:lineRule="auto"/>
        <w:ind w:left="0" w:firstLine="0"/>
        <w:rPr>
          <w:b/>
          <w:bCs/>
        </w:rPr>
      </w:pPr>
      <w:bookmarkStart w:id="4" w:name="_Toc76486896"/>
      <w:r w:rsidRPr="0061347F">
        <w:rPr>
          <w:b/>
          <w:bCs/>
        </w:rPr>
        <w:t xml:space="preserve">Diskontovaná doba návratnosti </w:t>
      </w:r>
      <w:r>
        <w:rPr>
          <w:b/>
          <w:bCs/>
        </w:rPr>
        <w:t>(DDP)</w:t>
      </w:r>
      <w:bookmarkEnd w:id="4"/>
    </w:p>
    <w:p w14:paraId="76EC367F" w14:textId="77777777" w:rsidR="00662708" w:rsidRPr="0061347F" w:rsidRDefault="00662708" w:rsidP="00662708">
      <w:pPr>
        <w:spacing w:after="120" w:line="360" w:lineRule="auto"/>
        <w:ind w:firstLine="284"/>
        <w:jc w:val="both"/>
        <w:rPr>
          <w:rFonts w:ascii="Times New Roman" w:hAnsi="Times New Roman" w:cs="Times New Roman"/>
          <w:sz w:val="24"/>
          <w:szCs w:val="28"/>
        </w:rPr>
      </w:pPr>
      <w:r w:rsidRPr="0061347F">
        <w:rPr>
          <w:rFonts w:ascii="Times New Roman" w:hAnsi="Times New Roman" w:cs="Times New Roman"/>
          <w:sz w:val="24"/>
          <w:szCs w:val="28"/>
        </w:rPr>
        <w:t>Diskontovaná doba návratnosti (</w:t>
      </w:r>
      <w:r w:rsidRPr="0061347F">
        <w:rPr>
          <w:rFonts w:ascii="Times New Roman" w:hAnsi="Times New Roman" w:cs="Times New Roman"/>
          <w:iCs/>
          <w:sz w:val="24"/>
          <w:szCs w:val="28"/>
        </w:rPr>
        <w:t>DPP</w:t>
      </w:r>
      <w:r w:rsidRPr="0061347F">
        <w:rPr>
          <w:rFonts w:ascii="Times New Roman" w:hAnsi="Times New Roman" w:cs="Times New Roman"/>
          <w:sz w:val="24"/>
          <w:szCs w:val="28"/>
        </w:rPr>
        <w:t>) je doba, za kterou kumulovaný diskontovaný peněžní tok přinese hodnotu rovnající se počátečním kapitálovým výdajům na investici. Při rozhodování mezi vícero projekty podnik podle tohoto pravidla zvolí ten projekt k financování, jehož diskontované hotovostní toky nejrychleji uhradí kapitálové</w:t>
      </w:r>
      <w:r>
        <w:rPr>
          <w:rFonts w:ascii="Times New Roman" w:hAnsi="Times New Roman" w:cs="Times New Roman"/>
          <w:sz w:val="24"/>
          <w:szCs w:val="28"/>
        </w:rPr>
        <w:t>.</w:t>
      </w:r>
    </w:p>
    <w:p w14:paraId="5EF3B09A" w14:textId="77777777" w:rsidR="00662708" w:rsidRPr="0061347F" w:rsidRDefault="00662708" w:rsidP="00662708">
      <w:pPr>
        <w:spacing w:after="120" w:line="360" w:lineRule="auto"/>
        <w:ind w:firstLine="284"/>
        <w:jc w:val="both"/>
        <w:rPr>
          <w:rFonts w:ascii="Times New Roman" w:hAnsi="Times New Roman" w:cs="Times New Roman"/>
          <w:sz w:val="24"/>
          <w:szCs w:val="24"/>
        </w:rPr>
      </w:pPr>
      <w:r w:rsidRPr="0061347F">
        <w:rPr>
          <w:rFonts w:ascii="Times New Roman" w:hAnsi="Times New Roman" w:cs="Times New Roman"/>
          <w:sz w:val="24"/>
          <w:szCs w:val="28"/>
        </w:rPr>
        <w:t xml:space="preserve">Investice je přijatelná, pokud </w:t>
      </w:r>
      <w:r w:rsidRPr="0061347F">
        <w:rPr>
          <w:rFonts w:ascii="Times New Roman" w:hAnsi="Times New Roman" w:cs="Times New Roman"/>
          <w:iCs/>
          <w:sz w:val="24"/>
          <w:szCs w:val="28"/>
        </w:rPr>
        <w:t>DPP</w:t>
      </w:r>
      <w:r w:rsidRPr="0061347F">
        <w:rPr>
          <w:rFonts w:ascii="Times New Roman" w:hAnsi="Times New Roman" w:cs="Times New Roman"/>
          <w:sz w:val="24"/>
          <w:szCs w:val="28"/>
        </w:rPr>
        <w:t xml:space="preserve"> nepřevyšuje dobu životnosti investice, tj. </w:t>
      </w:r>
      <w:r w:rsidRPr="0061347F">
        <w:rPr>
          <w:rFonts w:ascii="Times New Roman" w:hAnsi="Times New Roman" w:cs="Times New Roman"/>
          <w:iCs/>
          <w:sz w:val="24"/>
          <w:szCs w:val="28"/>
        </w:rPr>
        <w:t xml:space="preserve">DPP </w:t>
      </w:r>
      <w:proofErr w:type="gramStart"/>
      <w:r w:rsidRPr="0061347F">
        <w:rPr>
          <w:rFonts w:ascii="Times New Roman" w:hAnsi="Times New Roman" w:cs="Times New Roman"/>
          <w:sz w:val="24"/>
          <w:szCs w:val="28"/>
        </w:rPr>
        <w:t>&lt; doba</w:t>
      </w:r>
      <w:proofErr w:type="gramEnd"/>
      <w:r w:rsidRPr="0061347F">
        <w:rPr>
          <w:rFonts w:ascii="Times New Roman" w:hAnsi="Times New Roman" w:cs="Times New Roman"/>
          <w:sz w:val="24"/>
          <w:szCs w:val="28"/>
        </w:rPr>
        <w:t xml:space="preserve"> životnosti. </w:t>
      </w:r>
      <w:r w:rsidRPr="0061347F">
        <w:rPr>
          <w:rFonts w:ascii="Times New Roman" w:hAnsi="Times New Roman" w:cs="Times New Roman"/>
          <w:sz w:val="24"/>
          <w:szCs w:val="24"/>
        </w:rPr>
        <w:t xml:space="preserve">Je to pravidlo </w:t>
      </w:r>
      <w:r w:rsidRPr="0061347F">
        <w:rPr>
          <w:rFonts w:ascii="Times New Roman" w:hAnsi="Times New Roman" w:cs="Times New Roman"/>
          <w:i/>
          <w:sz w:val="24"/>
          <w:szCs w:val="24"/>
        </w:rPr>
        <w:t>ad hoc</w:t>
      </w:r>
      <w:r w:rsidRPr="0061347F">
        <w:rPr>
          <w:rFonts w:ascii="Times New Roman" w:hAnsi="Times New Roman" w:cs="Times New Roman"/>
          <w:sz w:val="24"/>
          <w:szCs w:val="24"/>
        </w:rPr>
        <w:t xml:space="preserve"> – nevšímá si pořadí hotovostních toků během období návratnosti a hotovostní toky po tomto období zcela ignoruje (např. kritérium </w:t>
      </w:r>
      <w:r w:rsidRPr="0061347F">
        <w:rPr>
          <w:rFonts w:ascii="Times New Roman" w:hAnsi="Times New Roman" w:cs="Times New Roman"/>
          <w:iCs/>
          <w:sz w:val="24"/>
          <w:szCs w:val="24"/>
        </w:rPr>
        <w:t>DPP</w:t>
      </w:r>
      <w:r w:rsidRPr="0061347F">
        <w:rPr>
          <w:rFonts w:ascii="Times New Roman" w:hAnsi="Times New Roman" w:cs="Times New Roman"/>
          <w:sz w:val="24"/>
          <w:szCs w:val="24"/>
        </w:rPr>
        <w:t xml:space="preserve"> dá přednost projektu, který při počáteční investici 1 000 Kč vygeneruje v následujících třech letech tři po sobě jdoucí roční platby 5 000 Kč před projektem, který při stejné investici prvních pět let generuje 100 Kč ročně, ale šestý rok přinese milion Kč). </w:t>
      </w:r>
    </w:p>
    <w:p w14:paraId="45CAF78F" w14:textId="77777777" w:rsidR="00662708" w:rsidRPr="0061347F" w:rsidRDefault="00662708" w:rsidP="00662708">
      <w:pPr>
        <w:spacing w:after="120" w:line="360" w:lineRule="auto"/>
        <w:ind w:firstLine="284"/>
        <w:jc w:val="both"/>
        <w:rPr>
          <w:rFonts w:ascii="Times New Roman" w:hAnsi="Times New Roman" w:cs="Times New Roman"/>
          <w:noProof/>
          <w:sz w:val="24"/>
          <w:szCs w:val="28"/>
          <w:lang w:eastAsia="cs-CZ"/>
        </w:rPr>
      </w:pPr>
      <w:r w:rsidRPr="0061347F">
        <w:rPr>
          <w:rFonts w:ascii="Times New Roman" w:hAnsi="Times New Roman" w:cs="Times New Roman"/>
          <w:noProof/>
          <w:sz w:val="24"/>
          <w:szCs w:val="28"/>
          <w:lang w:eastAsia="cs-CZ"/>
        </w:rPr>
        <w:t xml:space="preserve">Pokud bude firma </w:t>
      </w:r>
      <w:r>
        <w:rPr>
          <w:rFonts w:ascii="Times New Roman" w:hAnsi="Times New Roman" w:cs="Times New Roman"/>
          <w:noProof/>
          <w:sz w:val="24"/>
          <w:szCs w:val="28"/>
          <w:lang w:eastAsia="cs-CZ"/>
        </w:rPr>
        <w:t>upřednostňovat</w:t>
      </w:r>
      <w:r w:rsidRPr="0061347F">
        <w:rPr>
          <w:rFonts w:ascii="Times New Roman" w:hAnsi="Times New Roman" w:cs="Times New Roman"/>
          <w:noProof/>
          <w:sz w:val="24"/>
          <w:szCs w:val="28"/>
          <w:lang w:eastAsia="cs-CZ"/>
        </w:rPr>
        <w:t xml:space="preserve"> kritérium likvidity (např. při nedostatku peněžních prostředků) před efektivností, bude se při rozhodování o přijetí či zamítnutí projektu více opírat o metodu doby návratnosti než o čistou současnou hodnotu, index ziskovosti či vnitřní výnosové procento.</w:t>
      </w:r>
    </w:p>
    <w:p w14:paraId="16880D35" w14:textId="77777777" w:rsidR="00662708" w:rsidRPr="0061347F" w:rsidRDefault="00662708" w:rsidP="00662708">
      <w:pPr>
        <w:pStyle w:val="Nadpis2"/>
        <w:numPr>
          <w:ilvl w:val="1"/>
          <w:numId w:val="2"/>
        </w:numPr>
        <w:tabs>
          <w:tab w:val="num" w:pos="360"/>
        </w:tabs>
        <w:spacing w:before="120" w:after="120" w:line="360" w:lineRule="auto"/>
        <w:ind w:left="777" w:firstLine="0"/>
        <w:rPr>
          <w:b/>
          <w:bCs/>
        </w:rPr>
      </w:pPr>
      <w:bookmarkStart w:id="5" w:name="_Toc76486897"/>
      <w:r w:rsidRPr="0061347F">
        <w:rPr>
          <w:b/>
          <w:bCs/>
        </w:rPr>
        <w:t>Průměrný výnos z účetní hodnoty</w:t>
      </w:r>
      <w:bookmarkEnd w:id="5"/>
      <w:r w:rsidRPr="0061347F">
        <w:rPr>
          <w:b/>
          <w:bCs/>
        </w:rPr>
        <w:t xml:space="preserve"> </w:t>
      </w:r>
    </w:p>
    <w:p w14:paraId="7C6F5F13" w14:textId="77777777" w:rsidR="00662708" w:rsidRPr="0061347F" w:rsidRDefault="00662708" w:rsidP="00662708">
      <w:pPr>
        <w:spacing w:after="120" w:line="360" w:lineRule="auto"/>
        <w:ind w:firstLine="284"/>
        <w:jc w:val="both"/>
        <w:rPr>
          <w:rFonts w:ascii="Times New Roman" w:hAnsi="Times New Roman" w:cs="Times New Roman"/>
          <w:sz w:val="24"/>
          <w:szCs w:val="24"/>
        </w:rPr>
      </w:pPr>
      <w:r>
        <w:rPr>
          <w:rFonts w:ascii="Times New Roman" w:hAnsi="Times New Roman" w:cs="Times New Roman"/>
          <w:sz w:val="24"/>
          <w:szCs w:val="24"/>
        </w:rPr>
        <w:t>Průměrný výnos z účetní hodnoty se v</w:t>
      </w:r>
      <w:r w:rsidRPr="0061347F">
        <w:rPr>
          <w:rFonts w:ascii="Times New Roman" w:hAnsi="Times New Roman" w:cs="Times New Roman"/>
          <w:sz w:val="24"/>
          <w:szCs w:val="24"/>
        </w:rPr>
        <w:t xml:space="preserve">ypočte tak, že průměrné prognózované čisté zisky projektu se vydělí průměrnou účetní hodnotou z investice. Tento poměr se pak poměřuje s účetní výnosovou mírou firmy nebo s nějakým jiným měřítkem, např. s průměrnou účetní výnosovou mírou v odvětví. Této metodě lze vytknout </w:t>
      </w:r>
      <w:r>
        <w:rPr>
          <w:rFonts w:ascii="Times New Roman" w:hAnsi="Times New Roman" w:cs="Times New Roman"/>
          <w:sz w:val="24"/>
          <w:szCs w:val="24"/>
        </w:rPr>
        <w:t>tyto</w:t>
      </w:r>
      <w:r w:rsidRPr="0061347F">
        <w:rPr>
          <w:rFonts w:ascii="Times New Roman" w:hAnsi="Times New Roman" w:cs="Times New Roman"/>
          <w:sz w:val="24"/>
          <w:szCs w:val="24"/>
        </w:rPr>
        <w:t xml:space="preserve"> </w:t>
      </w:r>
      <w:r>
        <w:rPr>
          <w:rFonts w:ascii="Times New Roman" w:hAnsi="Times New Roman" w:cs="Times New Roman"/>
          <w:sz w:val="24"/>
          <w:szCs w:val="24"/>
        </w:rPr>
        <w:t>nedostatky</w:t>
      </w:r>
      <w:r w:rsidRPr="0061347F">
        <w:rPr>
          <w:rFonts w:ascii="Times New Roman" w:hAnsi="Times New Roman" w:cs="Times New Roman"/>
          <w:sz w:val="24"/>
          <w:szCs w:val="24"/>
        </w:rPr>
        <w:t xml:space="preserve">: </w:t>
      </w:r>
    </w:p>
    <w:p w14:paraId="579F5E47" w14:textId="77777777" w:rsidR="00662708" w:rsidRPr="0092395B" w:rsidRDefault="00662708" w:rsidP="00662708">
      <w:pPr>
        <w:numPr>
          <w:ilvl w:val="0"/>
          <w:numId w:val="8"/>
        </w:numPr>
        <w:spacing w:after="120" w:line="360" w:lineRule="auto"/>
        <w:jc w:val="both"/>
        <w:rPr>
          <w:rFonts w:ascii="Times New Roman" w:hAnsi="Times New Roman"/>
          <w:sz w:val="24"/>
          <w:szCs w:val="24"/>
        </w:rPr>
      </w:pPr>
      <w:r w:rsidRPr="0092395B">
        <w:rPr>
          <w:rFonts w:ascii="Times New Roman" w:hAnsi="Times New Roman"/>
          <w:sz w:val="24"/>
          <w:szCs w:val="24"/>
        </w:rPr>
        <w:t>Při výpočtu čistých zisků zcela ignoruje, zda příjem dorazí v příštím roce nebo příštím století. Důvodem je fakt, že průměrný účetní výnos závisí na účetním příjmu, nikoli na hotovostních tocích projektu, které se od účetního příjmu obvykle velmi liší. Důvodem je účetní zásada zvaná aktuální princip, podle které se v účetnictví uznávají výnosy už v okamžiku jejich realizace, tj. v okamžiku vyfakturování výkonu, a nikoliv v okamžiku skutečné úhrady. Analogicky, náklady se účtují v okamžiku jejich vynaložení, nikoliv v okamžiku jejich úhrady.</w:t>
      </w:r>
    </w:p>
    <w:p w14:paraId="17F0A5BC" w14:textId="77777777" w:rsidR="00662708" w:rsidRPr="0092395B" w:rsidRDefault="00662708" w:rsidP="00662708">
      <w:pPr>
        <w:numPr>
          <w:ilvl w:val="0"/>
          <w:numId w:val="9"/>
        </w:numPr>
        <w:spacing w:after="120" w:line="360" w:lineRule="auto"/>
        <w:jc w:val="both"/>
        <w:rPr>
          <w:rFonts w:ascii="Times New Roman" w:hAnsi="Times New Roman"/>
          <w:sz w:val="24"/>
          <w:szCs w:val="24"/>
        </w:rPr>
      </w:pPr>
      <w:r w:rsidRPr="0092395B">
        <w:rPr>
          <w:rFonts w:ascii="Times New Roman" w:hAnsi="Times New Roman"/>
          <w:sz w:val="24"/>
          <w:szCs w:val="24"/>
        </w:rPr>
        <w:lastRenderedPageBreak/>
        <w:t>Nebere se ohled na fakt, že okamžité příjmy mají větší hodnotu než vzdálené.</w:t>
      </w:r>
    </w:p>
    <w:p w14:paraId="0612CBE8" w14:textId="77777777" w:rsidR="00662708" w:rsidRPr="0092395B" w:rsidRDefault="00662708" w:rsidP="00662708">
      <w:pPr>
        <w:numPr>
          <w:ilvl w:val="0"/>
          <w:numId w:val="10"/>
        </w:numPr>
        <w:spacing w:after="120" w:line="360" w:lineRule="auto"/>
        <w:jc w:val="both"/>
        <w:rPr>
          <w:rFonts w:ascii="Times New Roman" w:hAnsi="Times New Roman"/>
          <w:sz w:val="24"/>
          <w:szCs w:val="24"/>
        </w:rPr>
      </w:pPr>
      <w:r w:rsidRPr="0092395B">
        <w:rPr>
          <w:rFonts w:ascii="Times New Roman" w:hAnsi="Times New Roman"/>
          <w:sz w:val="24"/>
          <w:szCs w:val="24"/>
        </w:rPr>
        <w:t>Volba referenčního měřítka má subjektivní charakter. Při poměřování s účetní výnosovou mírou firmy jsou investiční rozhodnutí závislá na ziskovosti stávajícího podnikání firmy. Je zcela dobře možné, že společnosti s vysokou výnosovou mírou ze stávajícího podnikání dojdou k rozhodnutí dobré projekty odmítnout, a naopak společnosti s nízkou výnosovou mírou mohou na základě tohoto pravidla přijmout projekty špatné.</w:t>
      </w:r>
    </w:p>
    <w:p w14:paraId="1A253603" w14:textId="77777777" w:rsidR="00662708" w:rsidRDefault="00662708" w:rsidP="00662708">
      <w:pPr>
        <w:spacing w:after="120" w:line="360" w:lineRule="auto"/>
        <w:jc w:val="both"/>
        <w:rPr>
          <w:rFonts w:ascii="Times New Roman" w:hAnsi="Times New Roman"/>
          <w:b/>
          <w:bCs/>
          <w:sz w:val="24"/>
          <w:szCs w:val="24"/>
        </w:rPr>
      </w:pPr>
      <w:r>
        <w:rPr>
          <w:rFonts w:ascii="Times New Roman" w:hAnsi="Times New Roman"/>
          <w:b/>
          <w:bCs/>
          <w:sz w:val="24"/>
          <w:szCs w:val="24"/>
        </w:rPr>
        <w:t>Příklad 8. Průměrná účetní výnosová míra</w:t>
      </w:r>
    </w:p>
    <w:p w14:paraId="2095C372" w14:textId="77777777" w:rsidR="00662708" w:rsidRPr="00C109F2" w:rsidRDefault="00662708" w:rsidP="00662708">
      <w:pPr>
        <w:spacing w:after="120" w:line="360" w:lineRule="auto"/>
        <w:ind w:firstLine="284"/>
        <w:rPr>
          <w:rFonts w:ascii="Times New Roman" w:hAnsi="Times New Roman"/>
          <w:sz w:val="24"/>
          <w:szCs w:val="24"/>
        </w:rPr>
      </w:pPr>
      <w:r w:rsidRPr="00C109F2">
        <w:rPr>
          <w:rFonts w:ascii="Times New Roman" w:hAnsi="Times New Roman"/>
          <w:sz w:val="24"/>
          <w:szCs w:val="24"/>
        </w:rPr>
        <w:t>Z</w:t>
      </w:r>
      <w:r>
        <w:rPr>
          <w:rFonts w:ascii="Times New Roman" w:hAnsi="Times New Roman"/>
          <w:sz w:val="24"/>
          <w:szCs w:val="24"/>
        </w:rPr>
        <w:t> informací zadaných v tabulkách vypočítejte průměrnou účetní výnosovou míru.</w:t>
      </w:r>
    </w:p>
    <w:tbl>
      <w:tblPr>
        <w:tblStyle w:val="Mkatabulky"/>
        <w:tblW w:w="9016" w:type="dxa"/>
        <w:tblInd w:w="-113" w:type="dxa"/>
        <w:tblLook w:val="01E0" w:firstRow="1" w:lastRow="1" w:firstColumn="1" w:lastColumn="1" w:noHBand="0" w:noVBand="0"/>
      </w:tblPr>
      <w:tblGrid>
        <w:gridCol w:w="3628"/>
        <w:gridCol w:w="1347"/>
        <w:gridCol w:w="1347"/>
        <w:gridCol w:w="1347"/>
        <w:gridCol w:w="1347"/>
      </w:tblGrid>
      <w:tr w:rsidR="00662708" w:rsidRPr="002A1FF4" w14:paraId="7F46C816" w14:textId="77777777" w:rsidTr="00EF3075">
        <w:tc>
          <w:tcPr>
            <w:tcW w:w="3628" w:type="dxa"/>
            <w:tcBorders>
              <w:bottom w:val="single" w:sz="4" w:space="0" w:color="auto"/>
            </w:tcBorders>
            <w:vAlign w:val="center"/>
          </w:tcPr>
          <w:p w14:paraId="2C77A24A" w14:textId="77777777" w:rsidR="00662708" w:rsidRPr="002A1FF4" w:rsidRDefault="00662708" w:rsidP="00EF3075">
            <w:pPr>
              <w:spacing w:after="120"/>
              <w:jc w:val="both"/>
              <w:rPr>
                <w:rFonts w:ascii="Times New Roman" w:hAnsi="Times New Roman" w:cs="Times New Roman"/>
                <w:b/>
                <w:sz w:val="24"/>
                <w:szCs w:val="24"/>
              </w:rPr>
            </w:pPr>
          </w:p>
        </w:tc>
        <w:tc>
          <w:tcPr>
            <w:tcW w:w="1347" w:type="dxa"/>
            <w:tcBorders>
              <w:bottom w:val="single" w:sz="4" w:space="0" w:color="auto"/>
            </w:tcBorders>
            <w:vAlign w:val="center"/>
          </w:tcPr>
          <w:p w14:paraId="0499BB5E" w14:textId="77777777" w:rsidR="00662708" w:rsidRPr="002A1FF4" w:rsidRDefault="00662708" w:rsidP="00EF3075">
            <w:pPr>
              <w:spacing w:after="120"/>
              <w:jc w:val="both"/>
              <w:rPr>
                <w:rFonts w:ascii="Times New Roman" w:hAnsi="Times New Roman" w:cs="Times New Roman"/>
                <w:b/>
                <w:sz w:val="24"/>
                <w:szCs w:val="24"/>
              </w:rPr>
            </w:pPr>
            <w:r w:rsidRPr="002A1FF4">
              <w:rPr>
                <w:rFonts w:ascii="Times New Roman" w:hAnsi="Times New Roman" w:cs="Times New Roman"/>
                <w:b/>
                <w:sz w:val="24"/>
                <w:szCs w:val="24"/>
              </w:rPr>
              <w:t>Rok 0</w:t>
            </w:r>
          </w:p>
        </w:tc>
        <w:tc>
          <w:tcPr>
            <w:tcW w:w="1347" w:type="dxa"/>
            <w:tcBorders>
              <w:bottom w:val="single" w:sz="4" w:space="0" w:color="auto"/>
            </w:tcBorders>
            <w:vAlign w:val="center"/>
          </w:tcPr>
          <w:p w14:paraId="18B5A765" w14:textId="77777777" w:rsidR="00662708" w:rsidRPr="002A1FF4" w:rsidRDefault="00662708" w:rsidP="00EF3075">
            <w:pPr>
              <w:spacing w:after="120"/>
              <w:jc w:val="both"/>
              <w:rPr>
                <w:rFonts w:ascii="Times New Roman" w:hAnsi="Times New Roman" w:cs="Times New Roman"/>
                <w:b/>
                <w:sz w:val="24"/>
                <w:szCs w:val="24"/>
              </w:rPr>
            </w:pPr>
            <w:r w:rsidRPr="002A1FF4">
              <w:rPr>
                <w:rFonts w:ascii="Times New Roman" w:hAnsi="Times New Roman" w:cs="Times New Roman"/>
                <w:b/>
                <w:sz w:val="24"/>
                <w:szCs w:val="24"/>
              </w:rPr>
              <w:t>Rok 1</w:t>
            </w:r>
          </w:p>
        </w:tc>
        <w:tc>
          <w:tcPr>
            <w:tcW w:w="1347" w:type="dxa"/>
            <w:tcBorders>
              <w:bottom w:val="single" w:sz="4" w:space="0" w:color="auto"/>
            </w:tcBorders>
            <w:vAlign w:val="center"/>
          </w:tcPr>
          <w:p w14:paraId="0BE3818C" w14:textId="77777777" w:rsidR="00662708" w:rsidRPr="002A1FF4" w:rsidRDefault="00662708" w:rsidP="00EF3075">
            <w:pPr>
              <w:spacing w:after="120"/>
              <w:jc w:val="both"/>
              <w:rPr>
                <w:rFonts w:ascii="Times New Roman" w:hAnsi="Times New Roman" w:cs="Times New Roman"/>
                <w:b/>
                <w:sz w:val="24"/>
                <w:szCs w:val="24"/>
              </w:rPr>
            </w:pPr>
            <w:r w:rsidRPr="002A1FF4">
              <w:rPr>
                <w:rFonts w:ascii="Times New Roman" w:hAnsi="Times New Roman" w:cs="Times New Roman"/>
                <w:b/>
                <w:sz w:val="24"/>
                <w:szCs w:val="24"/>
              </w:rPr>
              <w:t>Rok 2</w:t>
            </w:r>
          </w:p>
        </w:tc>
        <w:tc>
          <w:tcPr>
            <w:tcW w:w="1347" w:type="dxa"/>
            <w:tcBorders>
              <w:bottom w:val="single" w:sz="4" w:space="0" w:color="auto"/>
            </w:tcBorders>
            <w:vAlign w:val="center"/>
          </w:tcPr>
          <w:p w14:paraId="31ED7FA6" w14:textId="77777777" w:rsidR="00662708" w:rsidRPr="002A1FF4" w:rsidRDefault="00662708" w:rsidP="00EF3075">
            <w:pPr>
              <w:spacing w:after="120"/>
              <w:jc w:val="both"/>
              <w:rPr>
                <w:rFonts w:ascii="Times New Roman" w:hAnsi="Times New Roman" w:cs="Times New Roman"/>
                <w:b/>
                <w:sz w:val="24"/>
                <w:szCs w:val="24"/>
              </w:rPr>
            </w:pPr>
            <w:r w:rsidRPr="002A1FF4">
              <w:rPr>
                <w:rFonts w:ascii="Times New Roman" w:hAnsi="Times New Roman" w:cs="Times New Roman"/>
                <w:b/>
                <w:sz w:val="24"/>
                <w:szCs w:val="24"/>
              </w:rPr>
              <w:t>Rok 3</w:t>
            </w:r>
          </w:p>
        </w:tc>
      </w:tr>
      <w:tr w:rsidR="00662708" w:rsidRPr="002A1FF4" w14:paraId="7A7F9CD2" w14:textId="77777777" w:rsidTr="00EF3075">
        <w:tc>
          <w:tcPr>
            <w:tcW w:w="3628" w:type="dxa"/>
            <w:tcBorders>
              <w:top w:val="single" w:sz="4" w:space="0" w:color="auto"/>
              <w:bottom w:val="nil"/>
            </w:tcBorders>
          </w:tcPr>
          <w:p w14:paraId="5976EA74" w14:textId="77777777" w:rsidR="00662708" w:rsidRPr="002A1FF4" w:rsidRDefault="00662708" w:rsidP="00EF3075">
            <w:pPr>
              <w:spacing w:after="120"/>
              <w:jc w:val="both"/>
              <w:rPr>
                <w:rFonts w:ascii="Times New Roman" w:hAnsi="Times New Roman" w:cs="Times New Roman"/>
                <w:b/>
                <w:sz w:val="24"/>
                <w:szCs w:val="24"/>
              </w:rPr>
            </w:pPr>
            <w:r w:rsidRPr="002A1FF4">
              <w:rPr>
                <w:rFonts w:ascii="Times New Roman" w:hAnsi="Times New Roman" w:cs="Times New Roman"/>
                <w:b/>
                <w:sz w:val="24"/>
                <w:szCs w:val="24"/>
              </w:rPr>
              <w:t>Hrubá účetní hodnota investice</w:t>
            </w:r>
          </w:p>
        </w:tc>
        <w:tc>
          <w:tcPr>
            <w:tcW w:w="1347" w:type="dxa"/>
            <w:tcBorders>
              <w:bottom w:val="nil"/>
            </w:tcBorders>
            <w:vAlign w:val="center"/>
          </w:tcPr>
          <w:p w14:paraId="420D44B9"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$ 9 000</w:t>
            </w:r>
          </w:p>
        </w:tc>
        <w:tc>
          <w:tcPr>
            <w:tcW w:w="1347" w:type="dxa"/>
            <w:tcBorders>
              <w:bottom w:val="nil"/>
            </w:tcBorders>
            <w:vAlign w:val="center"/>
          </w:tcPr>
          <w:p w14:paraId="12124C38"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$ 9 000</w:t>
            </w:r>
          </w:p>
        </w:tc>
        <w:tc>
          <w:tcPr>
            <w:tcW w:w="1347" w:type="dxa"/>
            <w:tcBorders>
              <w:bottom w:val="nil"/>
            </w:tcBorders>
            <w:vAlign w:val="center"/>
          </w:tcPr>
          <w:p w14:paraId="6302C01B"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$ 9 000</w:t>
            </w:r>
          </w:p>
        </w:tc>
        <w:tc>
          <w:tcPr>
            <w:tcW w:w="1347" w:type="dxa"/>
            <w:tcBorders>
              <w:bottom w:val="nil"/>
            </w:tcBorders>
            <w:vAlign w:val="center"/>
          </w:tcPr>
          <w:p w14:paraId="7B90BBC0"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$ 9 000</w:t>
            </w:r>
          </w:p>
        </w:tc>
      </w:tr>
      <w:tr w:rsidR="00662708" w:rsidRPr="002A1FF4" w14:paraId="57035C9D" w14:textId="77777777" w:rsidTr="00EF3075">
        <w:tc>
          <w:tcPr>
            <w:tcW w:w="3628" w:type="dxa"/>
            <w:tcBorders>
              <w:top w:val="nil"/>
              <w:bottom w:val="single" w:sz="4" w:space="0" w:color="auto"/>
            </w:tcBorders>
          </w:tcPr>
          <w:p w14:paraId="0CB03009" w14:textId="77777777" w:rsidR="00662708" w:rsidRPr="002A1FF4" w:rsidRDefault="00662708" w:rsidP="00EF3075">
            <w:pPr>
              <w:spacing w:after="120"/>
              <w:jc w:val="both"/>
              <w:rPr>
                <w:rFonts w:ascii="Times New Roman" w:hAnsi="Times New Roman" w:cs="Times New Roman"/>
                <w:b/>
                <w:sz w:val="24"/>
                <w:szCs w:val="24"/>
              </w:rPr>
            </w:pPr>
            <w:r w:rsidRPr="002A1FF4">
              <w:rPr>
                <w:rFonts w:ascii="Times New Roman" w:hAnsi="Times New Roman" w:cs="Times New Roman"/>
                <w:b/>
                <w:sz w:val="24"/>
                <w:szCs w:val="24"/>
              </w:rPr>
              <w:t>Akumulované odpisy</w:t>
            </w:r>
          </w:p>
        </w:tc>
        <w:tc>
          <w:tcPr>
            <w:tcW w:w="1347" w:type="dxa"/>
            <w:tcBorders>
              <w:top w:val="nil"/>
              <w:bottom w:val="single" w:sz="4" w:space="0" w:color="auto"/>
            </w:tcBorders>
            <w:vAlign w:val="center"/>
          </w:tcPr>
          <w:p w14:paraId="5E2F739A"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0</w:t>
            </w:r>
          </w:p>
        </w:tc>
        <w:tc>
          <w:tcPr>
            <w:tcW w:w="1347" w:type="dxa"/>
            <w:tcBorders>
              <w:top w:val="nil"/>
              <w:bottom w:val="single" w:sz="4" w:space="0" w:color="auto"/>
            </w:tcBorders>
            <w:vAlign w:val="center"/>
          </w:tcPr>
          <w:p w14:paraId="5D72CCD6"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$ 3 000</w:t>
            </w:r>
          </w:p>
        </w:tc>
        <w:tc>
          <w:tcPr>
            <w:tcW w:w="1347" w:type="dxa"/>
            <w:tcBorders>
              <w:top w:val="nil"/>
              <w:bottom w:val="single" w:sz="4" w:space="0" w:color="auto"/>
            </w:tcBorders>
            <w:vAlign w:val="center"/>
          </w:tcPr>
          <w:p w14:paraId="18290B2E"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$ 6 000</w:t>
            </w:r>
          </w:p>
        </w:tc>
        <w:tc>
          <w:tcPr>
            <w:tcW w:w="1347" w:type="dxa"/>
            <w:tcBorders>
              <w:top w:val="nil"/>
              <w:bottom w:val="single" w:sz="4" w:space="0" w:color="auto"/>
            </w:tcBorders>
            <w:vAlign w:val="center"/>
          </w:tcPr>
          <w:p w14:paraId="799EAA97" w14:textId="77777777" w:rsidR="00662708" w:rsidRPr="002A1FF4" w:rsidRDefault="00662708" w:rsidP="00EF3075">
            <w:pPr>
              <w:spacing w:after="120"/>
              <w:jc w:val="both"/>
              <w:rPr>
                <w:rFonts w:ascii="Times New Roman" w:hAnsi="Times New Roman" w:cs="Times New Roman"/>
                <w:sz w:val="24"/>
                <w:szCs w:val="24"/>
              </w:rPr>
            </w:pPr>
            <w:r w:rsidRPr="002A1FF4">
              <w:rPr>
                <w:rFonts w:ascii="Times New Roman" w:hAnsi="Times New Roman" w:cs="Times New Roman"/>
                <w:sz w:val="24"/>
                <w:szCs w:val="24"/>
              </w:rPr>
              <w:t>$ 9 000</w:t>
            </w:r>
          </w:p>
        </w:tc>
      </w:tr>
      <w:tr w:rsidR="00662708" w:rsidRPr="002A1FF4" w14:paraId="45DC9A55" w14:textId="77777777" w:rsidTr="00EF3075">
        <w:tc>
          <w:tcPr>
            <w:tcW w:w="3628" w:type="dxa"/>
            <w:tcBorders>
              <w:top w:val="single" w:sz="4" w:space="0" w:color="auto"/>
            </w:tcBorders>
            <w:shd w:val="clear" w:color="auto" w:fill="D9E2F3" w:themeFill="accent1" w:themeFillTint="33"/>
          </w:tcPr>
          <w:p w14:paraId="3704D352" w14:textId="77777777" w:rsidR="00662708" w:rsidRPr="002A1FF4" w:rsidRDefault="00662708" w:rsidP="00EF3075">
            <w:pPr>
              <w:spacing w:after="120"/>
              <w:jc w:val="both"/>
              <w:rPr>
                <w:rFonts w:ascii="Times New Roman" w:hAnsi="Times New Roman" w:cs="Times New Roman"/>
                <w:b/>
                <w:sz w:val="24"/>
                <w:szCs w:val="24"/>
              </w:rPr>
            </w:pPr>
            <w:r w:rsidRPr="002A1FF4">
              <w:rPr>
                <w:rFonts w:ascii="Times New Roman" w:hAnsi="Times New Roman" w:cs="Times New Roman"/>
                <w:b/>
                <w:sz w:val="24"/>
                <w:szCs w:val="24"/>
              </w:rPr>
              <w:t>Čistá účetní hodnota investice</w:t>
            </w:r>
          </w:p>
        </w:tc>
        <w:tc>
          <w:tcPr>
            <w:tcW w:w="1347" w:type="dxa"/>
            <w:tcBorders>
              <w:top w:val="single" w:sz="4" w:space="0" w:color="auto"/>
            </w:tcBorders>
            <w:shd w:val="clear" w:color="auto" w:fill="D9E2F3" w:themeFill="accent1" w:themeFillTint="33"/>
            <w:vAlign w:val="center"/>
          </w:tcPr>
          <w:p w14:paraId="4F2BB3ED" w14:textId="77777777" w:rsidR="00662708" w:rsidRPr="00C109F2" w:rsidRDefault="00662708" w:rsidP="00EF3075">
            <w:pPr>
              <w:spacing w:after="120"/>
              <w:jc w:val="both"/>
              <w:rPr>
                <w:rFonts w:ascii="Times New Roman" w:hAnsi="Times New Roman" w:cs="Times New Roman"/>
                <w:b/>
                <w:bCs/>
                <w:sz w:val="24"/>
                <w:szCs w:val="24"/>
              </w:rPr>
            </w:pPr>
            <w:r w:rsidRPr="00C109F2">
              <w:rPr>
                <w:rFonts w:ascii="Times New Roman" w:hAnsi="Times New Roman" w:cs="Times New Roman"/>
                <w:b/>
                <w:bCs/>
                <w:sz w:val="24"/>
                <w:szCs w:val="24"/>
              </w:rPr>
              <w:t>$ 9 000</w:t>
            </w:r>
          </w:p>
        </w:tc>
        <w:tc>
          <w:tcPr>
            <w:tcW w:w="1347" w:type="dxa"/>
            <w:tcBorders>
              <w:top w:val="single" w:sz="4" w:space="0" w:color="auto"/>
            </w:tcBorders>
            <w:shd w:val="clear" w:color="auto" w:fill="D9E2F3" w:themeFill="accent1" w:themeFillTint="33"/>
            <w:vAlign w:val="center"/>
          </w:tcPr>
          <w:p w14:paraId="5AA25B58" w14:textId="77777777" w:rsidR="00662708" w:rsidRPr="00C109F2" w:rsidRDefault="00662708" w:rsidP="00EF3075">
            <w:pPr>
              <w:spacing w:after="120"/>
              <w:jc w:val="both"/>
              <w:rPr>
                <w:rFonts w:ascii="Times New Roman" w:hAnsi="Times New Roman" w:cs="Times New Roman"/>
                <w:b/>
                <w:bCs/>
                <w:sz w:val="24"/>
                <w:szCs w:val="24"/>
              </w:rPr>
            </w:pPr>
            <w:r w:rsidRPr="00C109F2">
              <w:rPr>
                <w:rFonts w:ascii="Times New Roman" w:hAnsi="Times New Roman" w:cs="Times New Roman"/>
                <w:b/>
                <w:bCs/>
                <w:sz w:val="24"/>
                <w:szCs w:val="24"/>
              </w:rPr>
              <w:t>$ 6 000</w:t>
            </w:r>
          </w:p>
        </w:tc>
        <w:tc>
          <w:tcPr>
            <w:tcW w:w="1347" w:type="dxa"/>
            <w:tcBorders>
              <w:top w:val="single" w:sz="4" w:space="0" w:color="auto"/>
            </w:tcBorders>
            <w:shd w:val="clear" w:color="auto" w:fill="D9E2F3" w:themeFill="accent1" w:themeFillTint="33"/>
            <w:vAlign w:val="center"/>
          </w:tcPr>
          <w:p w14:paraId="21972D6A" w14:textId="77777777" w:rsidR="00662708" w:rsidRPr="00C109F2" w:rsidRDefault="00662708" w:rsidP="00EF3075">
            <w:pPr>
              <w:spacing w:after="120"/>
              <w:jc w:val="both"/>
              <w:rPr>
                <w:rFonts w:ascii="Times New Roman" w:hAnsi="Times New Roman" w:cs="Times New Roman"/>
                <w:b/>
                <w:bCs/>
                <w:sz w:val="24"/>
                <w:szCs w:val="24"/>
              </w:rPr>
            </w:pPr>
            <w:r w:rsidRPr="00C109F2">
              <w:rPr>
                <w:rFonts w:ascii="Times New Roman" w:hAnsi="Times New Roman" w:cs="Times New Roman"/>
                <w:b/>
                <w:bCs/>
                <w:sz w:val="24"/>
                <w:szCs w:val="24"/>
              </w:rPr>
              <w:t>$ 3 000</w:t>
            </w:r>
          </w:p>
        </w:tc>
        <w:tc>
          <w:tcPr>
            <w:tcW w:w="1347" w:type="dxa"/>
            <w:tcBorders>
              <w:top w:val="single" w:sz="4" w:space="0" w:color="auto"/>
            </w:tcBorders>
            <w:shd w:val="clear" w:color="auto" w:fill="D9E2F3" w:themeFill="accent1" w:themeFillTint="33"/>
            <w:vAlign w:val="center"/>
          </w:tcPr>
          <w:p w14:paraId="3FB60B4F" w14:textId="77777777" w:rsidR="00662708" w:rsidRPr="00C109F2" w:rsidRDefault="00662708" w:rsidP="00EF3075">
            <w:pPr>
              <w:spacing w:after="120"/>
              <w:jc w:val="both"/>
              <w:rPr>
                <w:rFonts w:ascii="Times New Roman" w:hAnsi="Times New Roman" w:cs="Times New Roman"/>
                <w:b/>
                <w:bCs/>
                <w:sz w:val="24"/>
                <w:szCs w:val="24"/>
              </w:rPr>
            </w:pPr>
            <w:r w:rsidRPr="00C109F2">
              <w:rPr>
                <w:rFonts w:ascii="Times New Roman" w:hAnsi="Times New Roman" w:cs="Times New Roman"/>
                <w:b/>
                <w:bCs/>
                <w:sz w:val="24"/>
                <w:szCs w:val="24"/>
              </w:rPr>
              <w:t>$ 0</w:t>
            </w:r>
          </w:p>
        </w:tc>
      </w:tr>
    </w:tbl>
    <w:p w14:paraId="3B199768" w14:textId="77777777" w:rsidR="00662708" w:rsidRPr="002A1FF4" w:rsidRDefault="00662708" w:rsidP="00662708">
      <w:pPr>
        <w:spacing w:after="120" w:line="240" w:lineRule="auto"/>
        <w:ind w:left="360"/>
        <w:jc w:val="both"/>
        <w:rPr>
          <w:rFonts w:ascii="Times New Roman" w:hAnsi="Times New Roman"/>
          <w:sz w:val="24"/>
          <w:szCs w:val="24"/>
        </w:rPr>
      </w:pPr>
    </w:p>
    <w:p w14:paraId="5FD2332B" w14:textId="77777777" w:rsidR="00662708" w:rsidRPr="002A1FF4" w:rsidRDefault="00662708" w:rsidP="00662708">
      <w:pPr>
        <w:spacing w:after="120" w:line="240" w:lineRule="auto"/>
        <w:ind w:left="360"/>
        <w:jc w:val="both"/>
        <w:rPr>
          <w:rFonts w:ascii="Times New Roman" w:hAnsi="Times New Roman"/>
          <w:b/>
          <w:sz w:val="24"/>
          <w:szCs w:val="24"/>
        </w:rPr>
      </w:pPr>
      <w:r w:rsidRPr="002A1FF4">
        <w:rPr>
          <w:rFonts w:ascii="Times New Roman" w:hAnsi="Times New Roman"/>
          <w:sz w:val="24"/>
          <w:szCs w:val="24"/>
        </w:rPr>
        <w:t>Průměrná čistá účetní hodnota investice = (9 000+6 000+3 000+0)</w:t>
      </w:r>
      <w:r>
        <w:rPr>
          <w:rFonts w:ascii="Times New Roman" w:hAnsi="Times New Roman"/>
          <w:sz w:val="24"/>
          <w:szCs w:val="24"/>
        </w:rPr>
        <w:t xml:space="preserve"> </w:t>
      </w:r>
      <w:r w:rsidRPr="002A1FF4">
        <w:rPr>
          <w:rFonts w:ascii="Times New Roman" w:hAnsi="Times New Roman"/>
          <w:sz w:val="24"/>
          <w:szCs w:val="24"/>
        </w:rPr>
        <w:t>/</w:t>
      </w:r>
      <w:r>
        <w:rPr>
          <w:rFonts w:ascii="Times New Roman" w:hAnsi="Times New Roman"/>
          <w:sz w:val="24"/>
          <w:szCs w:val="24"/>
        </w:rPr>
        <w:t xml:space="preserve"> </w:t>
      </w:r>
      <w:r w:rsidRPr="002A1FF4">
        <w:rPr>
          <w:rFonts w:ascii="Times New Roman" w:hAnsi="Times New Roman"/>
          <w:sz w:val="24"/>
          <w:szCs w:val="24"/>
        </w:rPr>
        <w:t xml:space="preserve">4 = </w:t>
      </w:r>
      <w:r w:rsidRPr="005D6A86">
        <w:rPr>
          <w:rFonts w:ascii="Times New Roman" w:hAnsi="Times New Roman"/>
          <w:bCs/>
          <w:sz w:val="24"/>
          <w:szCs w:val="24"/>
        </w:rPr>
        <w:t>4 500 $</w:t>
      </w:r>
    </w:p>
    <w:p w14:paraId="1E01CFEA" w14:textId="77777777" w:rsidR="00662708" w:rsidRPr="002A1FF4" w:rsidRDefault="00662708" w:rsidP="00662708">
      <w:pPr>
        <w:pBdr>
          <w:top w:val="single" w:sz="4" w:space="1" w:color="auto"/>
          <w:left w:val="single" w:sz="4" w:space="4" w:color="auto"/>
          <w:right w:val="single" w:sz="4" w:space="4" w:color="auto"/>
        </w:pBdr>
        <w:spacing w:after="120" w:line="240" w:lineRule="auto"/>
        <w:ind w:left="360"/>
        <w:jc w:val="both"/>
        <w:rPr>
          <w:rFonts w:ascii="Times New Roman" w:hAnsi="Times New Roman"/>
          <w:b/>
          <w:sz w:val="24"/>
          <w:szCs w:val="24"/>
        </w:rPr>
      </w:pPr>
      <w:r w:rsidRPr="002A1FF4">
        <w:rPr>
          <w:rFonts w:ascii="Times New Roman" w:hAnsi="Times New Roman"/>
          <w:b/>
          <w:sz w:val="24"/>
          <w:szCs w:val="24"/>
        </w:rPr>
        <w:t xml:space="preserve">                                                            Hotovostní tok v dolarech</w:t>
      </w:r>
    </w:p>
    <w:p w14:paraId="46920EF0" w14:textId="77777777" w:rsidR="00662708" w:rsidRPr="002A1FF4" w:rsidRDefault="00662708" w:rsidP="00662708">
      <w:pPr>
        <w:pBdr>
          <w:top w:val="single" w:sz="4" w:space="1" w:color="auto"/>
          <w:left w:val="single" w:sz="4" w:space="4" w:color="auto"/>
          <w:bottom w:val="single" w:sz="4" w:space="1" w:color="auto"/>
          <w:right w:val="single" w:sz="4" w:space="4" w:color="auto"/>
        </w:pBdr>
        <w:spacing w:after="120" w:line="240" w:lineRule="auto"/>
        <w:ind w:left="360"/>
        <w:jc w:val="both"/>
        <w:rPr>
          <w:rFonts w:ascii="Times New Roman" w:hAnsi="Times New Roman"/>
          <w:b/>
          <w:sz w:val="24"/>
          <w:szCs w:val="24"/>
        </w:rPr>
      </w:pPr>
      <w:r w:rsidRPr="002A1FF4">
        <w:rPr>
          <w:rFonts w:ascii="Times New Roman" w:hAnsi="Times New Roman"/>
          <w:b/>
          <w:sz w:val="24"/>
          <w:szCs w:val="24"/>
        </w:rPr>
        <w:t>Projekt                                                          1. rok                   2. rok                    3. rok</w:t>
      </w:r>
    </w:p>
    <w:p w14:paraId="6C53D93D" w14:textId="77777777" w:rsidR="00662708" w:rsidRPr="002A1FF4" w:rsidRDefault="00662708" w:rsidP="00662708">
      <w:pPr>
        <w:pBdr>
          <w:top w:val="single" w:sz="4" w:space="1" w:color="auto"/>
          <w:left w:val="single" w:sz="4" w:space="4" w:color="auto"/>
          <w:bottom w:val="single" w:sz="4" w:space="1" w:color="auto"/>
          <w:right w:val="single" w:sz="4" w:space="4" w:color="auto"/>
        </w:pBdr>
        <w:spacing w:after="120" w:line="240" w:lineRule="auto"/>
        <w:ind w:left="360"/>
        <w:jc w:val="both"/>
        <w:rPr>
          <w:rFonts w:ascii="Times New Roman" w:hAnsi="Times New Roman"/>
          <w:sz w:val="24"/>
          <w:szCs w:val="24"/>
        </w:rPr>
      </w:pPr>
      <w:r w:rsidRPr="002A1FF4">
        <w:rPr>
          <w:rFonts w:ascii="Times New Roman" w:hAnsi="Times New Roman"/>
          <w:b/>
          <w:sz w:val="24"/>
          <w:szCs w:val="24"/>
        </w:rPr>
        <w:t>Hotovostní tok</w:t>
      </w:r>
      <w:r w:rsidRPr="002A1FF4">
        <w:rPr>
          <w:rFonts w:ascii="Times New Roman" w:hAnsi="Times New Roman"/>
          <w:sz w:val="24"/>
          <w:szCs w:val="24"/>
        </w:rPr>
        <w:t xml:space="preserve">                                               6 000                    5 000                     4 000</w:t>
      </w:r>
    </w:p>
    <w:p w14:paraId="67C1E102" w14:textId="77777777" w:rsidR="00662708" w:rsidRPr="002A1FF4" w:rsidRDefault="00662708" w:rsidP="00662708">
      <w:pPr>
        <w:pBdr>
          <w:top w:val="single" w:sz="4" w:space="1" w:color="auto"/>
          <w:left w:val="single" w:sz="4" w:space="4" w:color="auto"/>
          <w:bottom w:val="single" w:sz="4" w:space="1" w:color="auto"/>
          <w:right w:val="single" w:sz="4" w:space="4" w:color="auto"/>
        </w:pBdr>
        <w:spacing w:after="120" w:line="240" w:lineRule="auto"/>
        <w:ind w:left="360"/>
        <w:jc w:val="both"/>
        <w:rPr>
          <w:rFonts w:ascii="Times New Roman" w:hAnsi="Times New Roman"/>
          <w:sz w:val="24"/>
          <w:szCs w:val="24"/>
        </w:rPr>
      </w:pPr>
      <w:r w:rsidRPr="002A1FF4">
        <w:rPr>
          <w:rFonts w:ascii="Times New Roman" w:hAnsi="Times New Roman"/>
          <w:b/>
          <w:sz w:val="24"/>
          <w:szCs w:val="24"/>
        </w:rPr>
        <w:t xml:space="preserve">Odpisy  </w:t>
      </w:r>
      <w:r w:rsidRPr="002A1FF4">
        <w:rPr>
          <w:rFonts w:ascii="Times New Roman" w:hAnsi="Times New Roman"/>
          <w:sz w:val="24"/>
          <w:szCs w:val="24"/>
        </w:rPr>
        <w:t xml:space="preserve">                                                         3 000                    3 000                     3 000</w:t>
      </w:r>
    </w:p>
    <w:p w14:paraId="13E200A4" w14:textId="77777777" w:rsidR="00662708" w:rsidRPr="002A1FF4" w:rsidRDefault="00662708" w:rsidP="00662708">
      <w:pPr>
        <w:pBdr>
          <w:left w:val="single" w:sz="4" w:space="4" w:color="auto"/>
          <w:bottom w:val="single" w:sz="4" w:space="1" w:color="auto"/>
          <w:right w:val="single" w:sz="4" w:space="4" w:color="auto"/>
        </w:pBdr>
        <w:spacing w:after="120" w:line="240" w:lineRule="auto"/>
        <w:ind w:left="360"/>
        <w:jc w:val="both"/>
        <w:rPr>
          <w:rFonts w:ascii="Times New Roman" w:hAnsi="Times New Roman"/>
          <w:sz w:val="24"/>
          <w:szCs w:val="24"/>
        </w:rPr>
      </w:pPr>
      <w:r w:rsidRPr="002A1FF4">
        <w:rPr>
          <w:rFonts w:ascii="Times New Roman" w:hAnsi="Times New Roman"/>
          <w:b/>
          <w:sz w:val="24"/>
          <w:szCs w:val="24"/>
        </w:rPr>
        <w:t>Zisk</w:t>
      </w:r>
      <w:r w:rsidRPr="002A1FF4">
        <w:rPr>
          <w:rFonts w:ascii="Times New Roman" w:hAnsi="Times New Roman"/>
          <w:sz w:val="24"/>
          <w:szCs w:val="24"/>
        </w:rPr>
        <w:t xml:space="preserve">                                                                </w:t>
      </w:r>
      <w:r w:rsidRPr="00C109F2">
        <w:rPr>
          <w:rFonts w:ascii="Times New Roman" w:hAnsi="Times New Roman"/>
          <w:b/>
          <w:bCs/>
          <w:sz w:val="24"/>
          <w:szCs w:val="24"/>
        </w:rPr>
        <w:t>3 000                    2 000                     1 000</w:t>
      </w:r>
    </w:p>
    <w:p w14:paraId="603F512B" w14:textId="77777777" w:rsidR="00662708" w:rsidRPr="002A1FF4" w:rsidRDefault="00662708" w:rsidP="00662708">
      <w:pPr>
        <w:spacing w:after="120" w:line="360" w:lineRule="auto"/>
        <w:ind w:left="360"/>
        <w:jc w:val="both"/>
        <w:rPr>
          <w:rFonts w:ascii="Times New Roman" w:hAnsi="Times New Roman"/>
          <w:b/>
          <w:sz w:val="24"/>
          <w:szCs w:val="24"/>
        </w:rPr>
      </w:pPr>
      <w:r w:rsidRPr="002A1FF4">
        <w:rPr>
          <w:rFonts w:ascii="Times New Roman" w:hAnsi="Times New Roman"/>
          <w:sz w:val="24"/>
          <w:szCs w:val="24"/>
        </w:rPr>
        <w:t>Průměrný zisk = (3 000+2 000+1 000)</w:t>
      </w:r>
      <w:r>
        <w:rPr>
          <w:rFonts w:ascii="Times New Roman" w:hAnsi="Times New Roman"/>
          <w:sz w:val="24"/>
          <w:szCs w:val="24"/>
        </w:rPr>
        <w:t xml:space="preserve"> </w:t>
      </w:r>
      <w:r w:rsidRPr="002A1FF4">
        <w:rPr>
          <w:rFonts w:ascii="Times New Roman" w:hAnsi="Times New Roman"/>
          <w:sz w:val="24"/>
          <w:szCs w:val="24"/>
        </w:rPr>
        <w:t>/</w:t>
      </w:r>
      <w:r>
        <w:rPr>
          <w:rFonts w:ascii="Times New Roman" w:hAnsi="Times New Roman"/>
          <w:sz w:val="24"/>
          <w:szCs w:val="24"/>
        </w:rPr>
        <w:t xml:space="preserve"> </w:t>
      </w:r>
      <w:r w:rsidRPr="002A1FF4">
        <w:rPr>
          <w:rFonts w:ascii="Times New Roman" w:hAnsi="Times New Roman"/>
          <w:sz w:val="24"/>
          <w:szCs w:val="24"/>
        </w:rPr>
        <w:t xml:space="preserve">3 = </w:t>
      </w:r>
      <w:r w:rsidRPr="005D6A86">
        <w:rPr>
          <w:rFonts w:ascii="Times New Roman" w:hAnsi="Times New Roman"/>
          <w:bCs/>
          <w:sz w:val="24"/>
          <w:szCs w:val="24"/>
        </w:rPr>
        <w:t>2 000 $.</w:t>
      </w:r>
      <w:r>
        <w:rPr>
          <w:rFonts w:ascii="Times New Roman" w:hAnsi="Times New Roman"/>
          <w:b/>
          <w:sz w:val="24"/>
          <w:szCs w:val="24"/>
        </w:rPr>
        <w:t xml:space="preserve"> </w:t>
      </w:r>
      <w:r w:rsidRPr="002A1FF4">
        <w:rPr>
          <w:rFonts w:ascii="Times New Roman" w:hAnsi="Times New Roman"/>
          <w:b/>
          <w:sz w:val="24"/>
          <w:szCs w:val="24"/>
        </w:rPr>
        <w:t>Průměrná účetní výnosová míra</w:t>
      </w:r>
      <w:r w:rsidRPr="002A1FF4">
        <w:rPr>
          <w:rFonts w:ascii="Times New Roman" w:hAnsi="Times New Roman"/>
          <w:sz w:val="24"/>
          <w:szCs w:val="24"/>
        </w:rPr>
        <w:t xml:space="preserve"> </w:t>
      </w:r>
      <w:r w:rsidRPr="002A1FF4">
        <w:rPr>
          <w:rFonts w:ascii="Times New Roman" w:hAnsi="Times New Roman"/>
          <w:b/>
          <w:sz w:val="24"/>
          <w:szCs w:val="24"/>
        </w:rPr>
        <w:t>činí</w:t>
      </w:r>
      <w:r>
        <w:rPr>
          <w:rFonts w:ascii="Times New Roman" w:hAnsi="Times New Roman"/>
          <w:b/>
          <w:sz w:val="24"/>
          <w:szCs w:val="24"/>
        </w:rPr>
        <w:t xml:space="preserve"> </w:t>
      </w:r>
      <w:r w:rsidRPr="002A1FF4">
        <w:rPr>
          <w:rFonts w:ascii="Times New Roman" w:hAnsi="Times New Roman"/>
          <w:b/>
          <w:sz w:val="24"/>
          <w:szCs w:val="24"/>
        </w:rPr>
        <w:t>2</w:t>
      </w:r>
      <w:r>
        <w:rPr>
          <w:rFonts w:ascii="Times New Roman" w:hAnsi="Times New Roman"/>
          <w:b/>
          <w:sz w:val="24"/>
          <w:szCs w:val="24"/>
        </w:rPr>
        <w:t> </w:t>
      </w:r>
      <w:r w:rsidRPr="002A1FF4">
        <w:rPr>
          <w:rFonts w:ascii="Times New Roman" w:hAnsi="Times New Roman"/>
          <w:b/>
          <w:sz w:val="24"/>
          <w:szCs w:val="24"/>
        </w:rPr>
        <w:t>000</w:t>
      </w:r>
      <w:r>
        <w:rPr>
          <w:rFonts w:ascii="Times New Roman" w:hAnsi="Times New Roman"/>
          <w:b/>
          <w:sz w:val="24"/>
          <w:szCs w:val="24"/>
        </w:rPr>
        <w:t xml:space="preserve"> </w:t>
      </w:r>
      <w:r w:rsidRPr="002A1FF4">
        <w:rPr>
          <w:rFonts w:ascii="Times New Roman" w:hAnsi="Times New Roman"/>
          <w:b/>
          <w:sz w:val="24"/>
          <w:szCs w:val="24"/>
        </w:rPr>
        <w:t>/</w:t>
      </w:r>
      <w:r>
        <w:rPr>
          <w:rFonts w:ascii="Times New Roman" w:hAnsi="Times New Roman"/>
          <w:b/>
          <w:sz w:val="24"/>
          <w:szCs w:val="24"/>
        </w:rPr>
        <w:t xml:space="preserve"> </w:t>
      </w:r>
      <w:r w:rsidRPr="002A1FF4">
        <w:rPr>
          <w:rFonts w:ascii="Times New Roman" w:hAnsi="Times New Roman"/>
          <w:b/>
          <w:sz w:val="24"/>
          <w:szCs w:val="24"/>
        </w:rPr>
        <w:t>4 500 = 0,44</w:t>
      </w:r>
      <w:r>
        <w:rPr>
          <w:rFonts w:ascii="Times New Roman" w:hAnsi="Times New Roman"/>
          <w:b/>
          <w:sz w:val="24"/>
          <w:szCs w:val="24"/>
        </w:rPr>
        <w:t>.</w:t>
      </w:r>
    </w:p>
    <w:p w14:paraId="7819C44C" w14:textId="77777777" w:rsidR="00662708" w:rsidRDefault="00662708" w:rsidP="00662708">
      <w:pPr>
        <w:spacing w:after="120" w:line="360" w:lineRule="auto"/>
        <w:ind w:left="357" w:firstLine="284"/>
        <w:jc w:val="both"/>
        <w:rPr>
          <w:rFonts w:ascii="Times New Roman" w:hAnsi="Times New Roman"/>
          <w:sz w:val="24"/>
          <w:szCs w:val="24"/>
        </w:rPr>
      </w:pPr>
      <w:r>
        <w:rPr>
          <w:rFonts w:ascii="Times New Roman" w:hAnsi="Times New Roman"/>
          <w:sz w:val="24"/>
          <w:szCs w:val="24"/>
        </w:rPr>
        <w:t>Podle tohoto kritéria by se f</w:t>
      </w:r>
      <w:r w:rsidRPr="002A1FF4">
        <w:rPr>
          <w:rFonts w:ascii="Times New Roman" w:hAnsi="Times New Roman"/>
          <w:sz w:val="24"/>
          <w:szCs w:val="24"/>
        </w:rPr>
        <w:t>irma by pustila do projektu za předpokladu, že referenční účetní výnosová míra by byla nižší než 44 %.</w:t>
      </w:r>
    </w:p>
    <w:p w14:paraId="0F8C841C" w14:textId="77777777" w:rsidR="00662708" w:rsidRDefault="00662708" w:rsidP="00662708">
      <w:pPr>
        <w:spacing w:after="120" w:line="360" w:lineRule="auto"/>
        <w:ind w:left="357"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Vidíme, že tato metoda jako jediná ze zde přestavených</w:t>
      </w:r>
      <w:r w:rsidRPr="002A1FF4">
        <w:rPr>
          <w:rFonts w:ascii="Times New Roman" w:hAnsi="Times New Roman" w:cs="Times New Roman"/>
          <w:color w:val="000000"/>
          <w:sz w:val="24"/>
          <w:szCs w:val="24"/>
        </w:rPr>
        <w:t xml:space="preserve"> nerespekt</w:t>
      </w:r>
      <w:r>
        <w:rPr>
          <w:rFonts w:ascii="Times New Roman" w:hAnsi="Times New Roman" w:cs="Times New Roman"/>
          <w:color w:val="000000"/>
          <w:sz w:val="24"/>
          <w:szCs w:val="24"/>
        </w:rPr>
        <w:t>uje</w:t>
      </w:r>
      <w:r w:rsidRPr="002A1FF4">
        <w:rPr>
          <w:rFonts w:ascii="Times New Roman" w:hAnsi="Times New Roman" w:cs="Times New Roman"/>
          <w:color w:val="000000"/>
          <w:sz w:val="24"/>
          <w:szCs w:val="24"/>
        </w:rPr>
        <w:t xml:space="preserve"> časovou hodnotu peněz</w:t>
      </w:r>
      <w:r>
        <w:rPr>
          <w:rFonts w:ascii="Times New Roman" w:hAnsi="Times New Roman" w:cs="Times New Roman"/>
          <w:color w:val="000000"/>
          <w:sz w:val="24"/>
          <w:szCs w:val="24"/>
        </w:rPr>
        <w:t xml:space="preserve"> a faktor rizika</w:t>
      </w:r>
      <w:r w:rsidRPr="002A1FF4">
        <w:rPr>
          <w:rFonts w:ascii="Times New Roman" w:hAnsi="Times New Roman" w:cs="Times New Roman"/>
          <w:color w:val="000000"/>
          <w:sz w:val="24"/>
          <w:szCs w:val="24"/>
        </w:rPr>
        <w:t xml:space="preserve">. Lze </w:t>
      </w:r>
      <w:r>
        <w:rPr>
          <w:rFonts w:ascii="Times New Roman" w:hAnsi="Times New Roman" w:cs="Times New Roman"/>
          <w:color w:val="000000"/>
          <w:sz w:val="24"/>
          <w:szCs w:val="24"/>
        </w:rPr>
        <w:t>ji</w:t>
      </w:r>
      <w:r w:rsidRPr="002A1FF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proto </w:t>
      </w:r>
      <w:r w:rsidRPr="002A1FF4">
        <w:rPr>
          <w:rFonts w:ascii="Times New Roman" w:hAnsi="Times New Roman" w:cs="Times New Roman"/>
          <w:color w:val="000000"/>
          <w:sz w:val="24"/>
          <w:szCs w:val="24"/>
        </w:rPr>
        <w:t>použít pouze v případě, že faktor času</w:t>
      </w:r>
      <w:r>
        <w:rPr>
          <w:rFonts w:ascii="Times New Roman" w:hAnsi="Times New Roman" w:cs="Times New Roman"/>
          <w:color w:val="000000"/>
          <w:sz w:val="24"/>
          <w:szCs w:val="24"/>
        </w:rPr>
        <w:t xml:space="preserve"> a rizika</w:t>
      </w:r>
      <w:r w:rsidRPr="002A1FF4">
        <w:rPr>
          <w:rFonts w:ascii="Times New Roman" w:hAnsi="Times New Roman" w:cs="Times New Roman"/>
          <w:color w:val="000000"/>
          <w:sz w:val="24"/>
          <w:szCs w:val="24"/>
        </w:rPr>
        <w:t xml:space="preserve"> nemá podstatný vliv </w:t>
      </w:r>
      <w:r>
        <w:rPr>
          <w:rFonts w:ascii="Times New Roman" w:hAnsi="Times New Roman" w:cs="Times New Roman"/>
          <w:color w:val="000000"/>
          <w:sz w:val="24"/>
          <w:szCs w:val="24"/>
        </w:rPr>
        <w:t xml:space="preserve">na rozhodnutí </w:t>
      </w:r>
      <w:r w:rsidRPr="002A1FF4">
        <w:rPr>
          <w:rFonts w:ascii="Times New Roman" w:hAnsi="Times New Roman" w:cs="Times New Roman"/>
          <w:color w:val="000000"/>
          <w:sz w:val="24"/>
          <w:szCs w:val="24"/>
        </w:rPr>
        <w:t>(např. jednorázová koupě, nízká diskontní sazba apod.).</w:t>
      </w:r>
    </w:p>
    <w:p w14:paraId="2ABF0719" w14:textId="77777777" w:rsidR="001D4B00" w:rsidRDefault="001D4B00"/>
    <w:sectPr w:rsidR="001D4B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7359"/>
    <w:multiLevelType w:val="hybridMultilevel"/>
    <w:tmpl w:val="F2BA701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44D64"/>
    <w:multiLevelType w:val="hybridMultilevel"/>
    <w:tmpl w:val="88C8C728"/>
    <w:lvl w:ilvl="0" w:tplc="FF74C106">
      <w:numFmt w:val="bullet"/>
      <w:lvlText w:val="-"/>
      <w:lvlJc w:val="left"/>
      <w:pPr>
        <w:ind w:left="1364" w:hanging="360"/>
      </w:pPr>
      <w:rPr>
        <w:rFonts w:ascii="Times New Roman" w:eastAsiaTheme="minorHAnsi" w:hAnsi="Times New Roman" w:cs="Times New Roman" w:hint="default"/>
        <w:b/>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 w15:restartNumberingAfterBreak="0">
    <w:nsid w:val="257063F3"/>
    <w:multiLevelType w:val="hybridMultilevel"/>
    <w:tmpl w:val="640A3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6C6406"/>
    <w:multiLevelType w:val="hybridMultilevel"/>
    <w:tmpl w:val="9E22F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73042D"/>
    <w:multiLevelType w:val="multilevel"/>
    <w:tmpl w:val="D47C34B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80D5770"/>
    <w:multiLevelType w:val="multilevel"/>
    <w:tmpl w:val="21E4AFCA"/>
    <w:lvl w:ilvl="0">
      <w:start w:val="1"/>
      <w:numFmt w:val="decimal"/>
      <w:lvlText w:val="%1."/>
      <w:lvlJc w:val="left"/>
      <w:pPr>
        <w:ind w:left="644" w:hanging="360"/>
      </w:pPr>
      <w:rPr>
        <w:rFonts w:hint="default"/>
        <w:b w:val="0"/>
        <w:bCs w:val="0"/>
        <w:sz w:val="24"/>
        <w:szCs w:val="24"/>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6" w15:restartNumberingAfterBreak="0">
    <w:nsid w:val="60236375"/>
    <w:multiLevelType w:val="hybridMultilevel"/>
    <w:tmpl w:val="93EA2590"/>
    <w:lvl w:ilvl="0" w:tplc="16DC5F3E">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433862"/>
    <w:multiLevelType w:val="hybridMultilevel"/>
    <w:tmpl w:val="2E8E537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74AD5D2C"/>
    <w:multiLevelType w:val="hybridMultilevel"/>
    <w:tmpl w:val="112888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A77DDD"/>
    <w:multiLevelType w:val="hybridMultilevel"/>
    <w:tmpl w:val="B972C59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542251173">
    <w:abstractNumId w:val="5"/>
  </w:num>
  <w:num w:numId="2" w16cid:durableId="507065267">
    <w:abstractNumId w:val="4"/>
  </w:num>
  <w:num w:numId="3" w16cid:durableId="508839367">
    <w:abstractNumId w:val="7"/>
  </w:num>
  <w:num w:numId="4" w16cid:durableId="871964568">
    <w:abstractNumId w:val="1"/>
  </w:num>
  <w:num w:numId="5" w16cid:durableId="959721266">
    <w:abstractNumId w:val="6"/>
  </w:num>
  <w:num w:numId="6" w16cid:durableId="1271084470">
    <w:abstractNumId w:val="3"/>
  </w:num>
  <w:num w:numId="7" w16cid:durableId="916284262">
    <w:abstractNumId w:val="2"/>
  </w:num>
  <w:num w:numId="8" w16cid:durableId="371806085">
    <w:abstractNumId w:val="9"/>
  </w:num>
  <w:num w:numId="9" w16cid:durableId="1881474971">
    <w:abstractNumId w:val="0"/>
  </w:num>
  <w:num w:numId="10" w16cid:durableId="17519259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08"/>
    <w:rsid w:val="001D4B00"/>
    <w:rsid w:val="00662708"/>
    <w:rsid w:val="00962D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B7AE"/>
  <w15:chartTrackingRefBased/>
  <w15:docId w15:val="{D4599B2E-73DC-4D0C-AC37-8F70106B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62708"/>
  </w:style>
  <w:style w:type="paragraph" w:styleId="Nadpis1">
    <w:name w:val="heading 1"/>
    <w:basedOn w:val="Normln"/>
    <w:next w:val="Normln"/>
    <w:link w:val="Nadpis1Char"/>
    <w:uiPriority w:val="9"/>
    <w:qFormat/>
    <w:rsid w:val="006627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6627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2708"/>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662708"/>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link w:val="OdstavecseseznamemChar"/>
    <w:uiPriority w:val="34"/>
    <w:qFormat/>
    <w:rsid w:val="00662708"/>
    <w:pPr>
      <w:ind w:left="720"/>
      <w:contextualSpacing/>
    </w:pPr>
  </w:style>
  <w:style w:type="table" w:styleId="Mkatabulky">
    <w:name w:val="Table Grid"/>
    <w:basedOn w:val="Normlntabulka"/>
    <w:rsid w:val="006627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draznnintenzivn">
    <w:name w:val="Intense Emphasis"/>
    <w:basedOn w:val="Standardnpsmoodstavce"/>
    <w:uiPriority w:val="21"/>
    <w:qFormat/>
    <w:rsid w:val="00662708"/>
    <w:rPr>
      <w:rFonts w:ascii="Times New Roman" w:hAnsi="Times New Roman"/>
      <w:i/>
      <w:iCs/>
      <w:color w:val="4472C4" w:themeColor="accent1"/>
      <w:sz w:val="24"/>
    </w:rPr>
  </w:style>
  <w:style w:type="paragraph" w:customStyle="1" w:styleId="odrkaa">
    <w:name w:val="odrážkaa"/>
    <w:basedOn w:val="Normln"/>
    <w:rsid w:val="00662708"/>
    <w:pPr>
      <w:keepLines/>
      <w:suppressAutoHyphens/>
      <w:overflowPunct w:val="0"/>
      <w:autoSpaceDE w:val="0"/>
      <w:autoSpaceDN w:val="0"/>
      <w:adjustRightInd w:val="0"/>
      <w:spacing w:before="110" w:after="110" w:line="240" w:lineRule="auto"/>
      <w:ind w:left="567" w:hanging="567"/>
      <w:jc w:val="both"/>
      <w:textAlignment w:val="baseline"/>
    </w:pPr>
    <w:rPr>
      <w:rFonts w:ascii="Times New Roman" w:eastAsia="Times New Roman" w:hAnsi="Times New Roman" w:cs="Times New Roman"/>
      <w:szCs w:val="20"/>
      <w:lang w:eastAsia="cs-CZ"/>
    </w:rPr>
  </w:style>
  <w:style w:type="paragraph" w:customStyle="1" w:styleId="bakalarka-zakladnitext">
    <w:name w:val="bakalarka - zakladni text"/>
    <w:basedOn w:val="Normln"/>
    <w:link w:val="bakalarka-zakladnitextChar"/>
    <w:autoRedefine/>
    <w:rsid w:val="00662708"/>
    <w:pPr>
      <w:spacing w:after="120" w:line="360" w:lineRule="auto"/>
      <w:ind w:left="360" w:firstLine="284"/>
      <w:jc w:val="both"/>
    </w:pPr>
    <w:rPr>
      <w:rFonts w:ascii="Times New Roman" w:eastAsia="Times New Roman" w:hAnsi="Times New Roman" w:cs="Times New Roman"/>
      <w:sz w:val="24"/>
      <w:szCs w:val="24"/>
      <w:lang w:eastAsia="cs-CZ"/>
    </w:rPr>
  </w:style>
  <w:style w:type="character" w:customStyle="1" w:styleId="bakalarka-zakladnitextChar">
    <w:name w:val="bakalarka - zakladni text Char"/>
    <w:basedOn w:val="Standardnpsmoodstavce"/>
    <w:link w:val="bakalarka-zakladnitext"/>
    <w:rsid w:val="00662708"/>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rsid w:val="0066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3634E-119E-4FBD-A4DB-A2FBB36B3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1779</Words>
  <Characters>10499</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2022-07-12T08:20:00Z</dcterms:created>
  <dcterms:modified xsi:type="dcterms:W3CDTF">2022-07-12T08:35:00Z</dcterms:modified>
</cp:coreProperties>
</file>