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3B450A94" w:rsidR="00ED5429" w:rsidRPr="003E3ABC" w:rsidRDefault="00125B2D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Optimální přístup k odhadu strategických podnikových veličin v post-Covid ekonomice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1B1BE5">
              <w:rPr>
                <w:rFonts w:ascii="Cambria" w:hAnsi="Cambria"/>
                <w:i/>
                <w:iCs/>
                <w:color w:val="A6A6A6" w:themeColor="background1" w:themeShade="A6"/>
              </w:rPr>
              <w:t xml:space="preserve">Vyplní správce </w:t>
            </w:r>
            <w:r w:rsidR="00165F94" w:rsidRPr="001B1BE5">
              <w:rPr>
                <w:rFonts w:ascii="Cambria" w:hAnsi="Cambria"/>
                <w:i/>
                <w:iCs/>
                <w:color w:val="A6A6A6" w:themeColor="background1" w:themeShade="A6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70B41015" w:rsidR="000D55BE" w:rsidRPr="00E65C95" w:rsidRDefault="00125B2D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E65C95">
              <w:rPr>
                <w:rFonts w:ascii="Cambria" w:eastAsia="Times New Roman" w:hAnsi="Cambria" w:cs="Calibri"/>
                <w:color w:val="000000"/>
                <w:lang w:eastAsia="cs-CZ"/>
              </w:rPr>
              <w:t>Ing. Simona Hašková, Ph.D.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7FE5C52C" w:rsidR="00791E24" w:rsidRPr="0036473A" w:rsidRDefault="00125B2D" w:rsidP="0036473A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Ing. Petr </w:t>
            </w:r>
            <w:proofErr w:type="spellStart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Ph.D., Ing. Robert </w:t>
            </w:r>
            <w:proofErr w:type="spellStart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Pr="0036473A">
              <w:rPr>
                <w:rFonts w:ascii="Cambria" w:hAnsi="Cambria"/>
                <w:color w:val="000000"/>
                <w:bdr w:val="none" w:sz="0" w:space="0" w:color="auto" w:frame="1"/>
              </w:rPr>
              <w:t>, Ph.D., Ing. Jiří Kučera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</w:t>
            </w:r>
            <w:r w:rsidR="0051510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Ing. Janíková, 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>PVS (</w:t>
            </w:r>
            <w:r w:rsidR="0036473A" w:rsidRPr="0036473A">
              <w:rPr>
                <w:rFonts w:ascii="Cambria" w:hAnsi="Cambria" w:cs="Calibri"/>
                <w:color w:val="201F1E"/>
                <w:shd w:val="clear" w:color="auto" w:fill="FFFFFF"/>
              </w:rPr>
              <w:t>Petra Navrátilová, Adéla Neubergová)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</w:rPr>
              <w:t>, OA (10</w:t>
            </w:r>
            <w:r w:rsidR="0036473A" w:rsidRPr="0036473A"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/2022), AP (09/2022)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5D04E8E6" w14:textId="434D38FB" w:rsidR="00125B2D" w:rsidRPr="00E65C95" w:rsidRDefault="00125B2D" w:rsidP="00125B2D">
            <w:pPr>
              <w:pStyle w:val="Normlnweb"/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Skupina „Finance podniku“ </w:t>
            </w:r>
          </w:p>
          <w:p w14:paraId="49E7A2BE" w14:textId="6020951A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pro Magisterské studium (PE, NZ) </w:t>
            </w:r>
          </w:p>
          <w:p w14:paraId="565B41F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International Finance pro Mgr. </w:t>
            </w:r>
          </w:p>
          <w:p w14:paraId="05FF877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Manažerská ekonomika (NZ) </w:t>
            </w:r>
          </w:p>
          <w:p w14:paraId="36FD9490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I. (PE) </w:t>
            </w:r>
          </w:p>
          <w:p w14:paraId="39391D19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II. (PE) </w:t>
            </w:r>
          </w:p>
          <w:p w14:paraId="5F1E182E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Finanční a kapitálové trhy (PE) </w:t>
            </w:r>
          </w:p>
          <w:p w14:paraId="20927D39" w14:textId="77777777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Controlling (PE)</w:t>
            </w:r>
          </w:p>
          <w:p w14:paraId="2EDAA563" w14:textId="048FBAA5" w:rsidR="00125B2D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(BA) </w:t>
            </w:r>
          </w:p>
          <w:p w14:paraId="17A7E0DC" w14:textId="765A0A00" w:rsidR="003E3ABC" w:rsidRPr="00E65C95" w:rsidRDefault="00125B2D" w:rsidP="00125B2D">
            <w:pPr>
              <w:pStyle w:val="Normln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E65C95">
              <w:rPr>
                <w:rFonts w:ascii="Cambria" w:eastAsiaTheme="minorHAnsi" w:hAnsi="Cambria" w:cstheme="minorBid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Finance podniku (ŘLZ) 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CCA6FF2" w:rsidR="003E3ABC" w:rsidRPr="001B1BE5" w:rsidRDefault="00125B2D" w:rsidP="003E3ABC">
                <w:pPr>
                  <w:rPr>
                    <w:rFonts w:ascii="Cambria" w:hAnsi="Cambria"/>
                    <w:color w:val="000000" w:themeColor="text1"/>
                  </w:rPr>
                </w:pPr>
                <w:r w:rsidRPr="001B1BE5">
                  <w:rPr>
                    <w:rFonts w:ascii="Cambria" w:hAnsi="Cambria"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/>
              <w:bdr w:val="none" w:sz="0" w:space="0" w:color="auto" w:frame="1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73FD62E6" w:rsidR="000D55BE" w:rsidRPr="00E65C95" w:rsidRDefault="00DA715D" w:rsidP="00E17072">
                <w:pPr>
                  <w:spacing w:after="120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Cílem je </w:t>
                </w:r>
                <w:r w:rsidR="0036473A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identifikovat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rozdíly mezi statistickým přístupem</w:t>
                </w:r>
                <w:r w:rsidR="00624849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a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 fuzzy přístupem v predikci strategických podnikových veličin a </w:t>
                </w:r>
                <w:r w:rsidR="00E17072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definovat </w:t>
                </w:r>
                <w:r w:rsidRPr="00E65C95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jejich aplikovatelnost za podmínek jistoty, rizika a neurčitosti.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  <w:vAlign w:val="center"/>
          </w:tcPr>
          <w:p w14:paraId="2DE78F35" w14:textId="35CADC1F" w:rsidR="00391ACC" w:rsidRPr="00E65C95" w:rsidRDefault="00391ACC" w:rsidP="004826A7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</w:tc>
      </w:tr>
      <w:tr w:rsidR="00DA715D" w:rsidRPr="00C340DE" w14:paraId="38F3F761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DA715D" w:rsidRPr="00C340DE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</w:tcPr>
          <w:p w14:paraId="4444E081" w14:textId="158DC2A7" w:rsidR="00E17072" w:rsidRDefault="00E17072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E17072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Výstupy pro ETMS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:</w:t>
            </w:r>
          </w:p>
          <w:p w14:paraId="25AB5DE1" w14:textId="5AC7F668" w:rsidR="002E3D71" w:rsidRPr="00764390" w:rsidRDefault="00764390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764390">
              <w:rPr>
                <w:rFonts w:ascii="Cambria" w:hAnsi="Cambria"/>
                <w:color w:val="000000"/>
                <w:bdr w:val="none" w:sz="0" w:space="0" w:color="auto" w:frame="1"/>
              </w:rPr>
              <w:t>Dva články WOS 2</w:t>
            </w:r>
            <w:r w:rsidR="002E3D71" w:rsidRPr="00764390">
              <w:rPr>
                <w:rFonts w:ascii="Cambria" w:hAnsi="Cambria"/>
                <w:color w:val="000000"/>
                <w:bdr w:val="none" w:sz="0" w:space="0" w:color="auto" w:frame="1"/>
              </w:rPr>
              <w:t>. kvartil</w:t>
            </w:r>
          </w:p>
          <w:p w14:paraId="4BA2E096" w14:textId="0F2F2047" w:rsidR="002E3D71" w:rsidRPr="00764390" w:rsidRDefault="00764390" w:rsidP="002E3D71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764390">
              <w:rPr>
                <w:rFonts w:ascii="Cambria" w:hAnsi="Cambria"/>
                <w:color w:val="000000"/>
                <w:bdr w:val="none" w:sz="0" w:space="0" w:color="auto" w:frame="1"/>
              </w:rPr>
              <w:t>Tři články WOS 3</w:t>
            </w:r>
            <w:r w:rsidR="002E3D71" w:rsidRPr="00764390">
              <w:rPr>
                <w:rFonts w:ascii="Cambria" w:hAnsi="Cambria"/>
                <w:color w:val="000000"/>
                <w:bdr w:val="none" w:sz="0" w:space="0" w:color="auto" w:frame="1"/>
              </w:rPr>
              <w:t>. kvartil</w:t>
            </w:r>
          </w:p>
          <w:p w14:paraId="2B961D6F" w14:textId="490FF1CD" w:rsidR="00DA715D" w:rsidRPr="00E65C95" w:rsidRDefault="00764390" w:rsidP="00764390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764390">
              <w:rPr>
                <w:rFonts w:ascii="Cambria" w:hAnsi="Cambria"/>
                <w:color w:val="000000"/>
                <w:bdr w:val="none" w:sz="0" w:space="0" w:color="auto" w:frame="1"/>
              </w:rPr>
              <w:t>Čtyři články WOS 4. kvartil</w:t>
            </w:r>
          </w:p>
        </w:tc>
      </w:tr>
      <w:tr w:rsidR="00DA715D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A715D" w:rsidRPr="00C340DE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</w:rPr>
            <w:id w:val="952061278"/>
            <w:placeholder>
              <w:docPart w:val="FBB1DD681D5B468BBA998A9975F26BC8"/>
            </w:placeholder>
            <w15:color w:val="FF0000"/>
            <w15:appearance w15:val="hidden"/>
          </w:sdtPr>
          <w:sdtEndPr>
            <w:rPr>
              <w:color w:val="000000" w:themeColor="text1"/>
              <w:sz w:val="24"/>
              <w:szCs w:val="24"/>
            </w:rPr>
          </w:sdtEndPr>
          <w:sdtContent>
            <w:tc>
              <w:tcPr>
                <w:tcW w:w="7513" w:type="dxa"/>
                <w:vAlign w:val="center"/>
              </w:tcPr>
              <w:p w14:paraId="6648C5D3" w14:textId="77777777" w:rsidR="00E17072" w:rsidRDefault="00624849" w:rsidP="00E17072">
                <w:pPr>
                  <w:spacing w:after="120"/>
                  <w:jc w:val="both"/>
                  <w:rPr>
                    <w:rFonts w:ascii="Cambria" w:hAnsi="Cambria"/>
                  </w:rPr>
                </w:pPr>
                <w:r w:rsidRPr="00DF562D">
                  <w:rPr>
                    <w:rFonts w:ascii="Cambria" w:hAnsi="Cambria"/>
                  </w:rPr>
                  <w:t xml:space="preserve">Předměty skupiny „Finance podniku“ řeší téma kvantifikace podnikových ukazatelů </w:t>
                </w:r>
                <w:r w:rsidR="00EA116E" w:rsidRPr="00DF562D">
                  <w:rPr>
                    <w:rFonts w:ascii="Cambria" w:hAnsi="Cambria"/>
                  </w:rPr>
                  <w:t xml:space="preserve">metodami fundamentální a finanční analýzy. </w:t>
                </w:r>
              </w:p>
              <w:p w14:paraId="1EF680F9" w14:textId="7A7143F3" w:rsidR="00DA715D" w:rsidRPr="00350A01" w:rsidRDefault="00EA116E" w:rsidP="00E17072">
                <w:pPr>
                  <w:spacing w:after="120"/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DF562D">
                  <w:rPr>
                    <w:rFonts w:ascii="Cambria" w:hAnsi="Cambria"/>
                  </w:rPr>
                  <w:t xml:space="preserve">Výzkum zakládá na </w:t>
                </w:r>
                <w:r w:rsidR="00627670" w:rsidRPr="00DF562D">
                  <w:rPr>
                    <w:rFonts w:ascii="Cambria" w:hAnsi="Cambria"/>
                  </w:rPr>
                  <w:t xml:space="preserve">těchto </w:t>
                </w:r>
                <w:r w:rsidR="00E21CC9" w:rsidRPr="00DF562D">
                  <w:rPr>
                    <w:rFonts w:ascii="Cambria" w:hAnsi="Cambria"/>
                  </w:rPr>
                  <w:t>standardních metodách</w:t>
                </w:r>
                <w:r w:rsidR="00DE1B96" w:rsidRPr="00DF562D">
                  <w:rPr>
                    <w:rFonts w:ascii="Cambria" w:hAnsi="Cambria"/>
                  </w:rPr>
                  <w:t xml:space="preserve"> a přidává výzkumnou nadhodnotu ve formě </w:t>
                </w:r>
                <w:r w:rsidR="0036473A">
                  <w:rPr>
                    <w:rFonts w:ascii="Cambria" w:hAnsi="Cambria"/>
                  </w:rPr>
                  <w:t>identifikace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DE1B96" w:rsidRPr="00DF562D">
                  <w:rPr>
                    <w:rFonts w:ascii="Cambria" w:hAnsi="Cambria"/>
                  </w:rPr>
                  <w:t xml:space="preserve">predikčních přístupů </w:t>
                </w:r>
                <w:r w:rsidR="00517197" w:rsidRPr="00DF562D">
                  <w:rPr>
                    <w:rFonts w:ascii="Cambria" w:hAnsi="Cambria"/>
                  </w:rPr>
                  <w:t>založených na statistice a fuzzy logice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627670" w:rsidRPr="00DF562D">
                  <w:rPr>
                    <w:rFonts w:ascii="Cambria" w:hAnsi="Cambria"/>
                  </w:rPr>
                  <w:t>za účelem</w:t>
                </w:r>
                <w:r w:rsidR="00200A72" w:rsidRPr="00DF562D">
                  <w:rPr>
                    <w:rFonts w:ascii="Cambria" w:hAnsi="Cambria"/>
                  </w:rPr>
                  <w:t xml:space="preserve"> racionální</w:t>
                </w:r>
                <w:r w:rsidR="00627670" w:rsidRPr="00DF562D">
                  <w:rPr>
                    <w:rFonts w:ascii="Cambria" w:hAnsi="Cambria"/>
                  </w:rPr>
                  <w:t>ch</w:t>
                </w:r>
                <w:r w:rsidR="00200A72" w:rsidRPr="00DF562D">
                  <w:rPr>
                    <w:rFonts w:ascii="Cambria" w:hAnsi="Cambria"/>
                  </w:rPr>
                  <w:t xml:space="preserve"> odhad</w:t>
                </w:r>
                <w:r w:rsidR="00627670" w:rsidRPr="00DF562D">
                  <w:rPr>
                    <w:rFonts w:ascii="Cambria" w:hAnsi="Cambria"/>
                  </w:rPr>
                  <w:t>ů</w:t>
                </w:r>
                <w:r w:rsidR="00200A72" w:rsidRPr="00DF562D">
                  <w:rPr>
                    <w:rFonts w:ascii="Cambria" w:hAnsi="Cambria"/>
                  </w:rPr>
                  <w:t xml:space="preserve"> </w:t>
                </w:r>
                <w:r w:rsidR="00627670" w:rsidRPr="00DF562D">
                  <w:rPr>
                    <w:rFonts w:ascii="Cambria" w:hAnsi="Cambria"/>
                  </w:rPr>
                  <w:t>významných</w:t>
                </w:r>
                <w:r w:rsidR="00200A72" w:rsidRPr="00DF562D">
                  <w:rPr>
                    <w:rFonts w:ascii="Cambria" w:hAnsi="Cambria"/>
                  </w:rPr>
                  <w:t xml:space="preserve"> podnikových veličin.</w:t>
                </w:r>
              </w:p>
            </w:tc>
          </w:sdtContent>
        </w:sdt>
      </w:tr>
      <w:tr w:rsidR="00DA715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398D8995" w14:textId="53459210" w:rsidR="00782727" w:rsidRDefault="00782727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1F375F97" w14:textId="3E4A0ACF" w:rsidR="00DA715D" w:rsidRPr="00E65C95" w:rsidRDefault="00DA715D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2A5AF3A8" w14:textId="77777777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 cíl 1: A) Zvyšovat kvalitu vzdělávání akreditovaných studijních programů podle potřeb podnikové praxe a současné generace studentů</w:t>
            </w:r>
          </w:p>
          <w:p w14:paraId="4D84BA48" w14:textId="77777777" w:rsidR="00DA715D" w:rsidRPr="00E65C95" w:rsidRDefault="00DA715D" w:rsidP="00E17072">
            <w:pPr>
              <w:spacing w:after="120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6473A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lastRenderedPageBreak/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77EB44FA" w14:textId="3B537D00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 </w:t>
            </w:r>
          </w:p>
          <w:p w14:paraId="02DDE63E" w14:textId="17C22F72" w:rsidR="00DA715D" w:rsidRPr="009F135A" w:rsidRDefault="00DA715D" w:rsidP="00E17072">
            <w:pPr>
              <w:pStyle w:val="Odstavecseseznamem"/>
              <w:numPr>
                <w:ilvl w:val="0"/>
                <w:numId w:val="15"/>
              </w:numPr>
              <w:spacing w:after="120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</w:t>
            </w:r>
            <w:r w:rsidRPr="009F135A">
              <w:rPr>
                <w:rFonts w:cs="Calibri"/>
                <w:i/>
                <w:shd w:val="clear" w:color="auto" w:fill="FFFFFF"/>
              </w:rPr>
              <w:t xml:space="preserve"> </w:t>
            </w: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cíl 3: C) Rozvíjet spolupráci se strategickými partnery v oblasti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</w:t>
            </w:r>
            <w:proofErr w:type="spellEnd"/>
          </w:p>
        </w:tc>
      </w:tr>
      <w:tr w:rsidR="00DA715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4EBF27FD" w14:textId="3A66F0DD" w:rsidR="009F135A" w:rsidRPr="0036473A" w:rsidRDefault="004920DE" w:rsidP="00E17072">
            <w:p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36473A">
              <w:rPr>
                <w:rFonts w:ascii="Cambria" w:hAnsi="Cambria" w:cs="Calibri"/>
                <w:color w:val="000000"/>
              </w:rPr>
              <w:t xml:space="preserve">Projekt svým řešením zároveň přispívá k naplnění cílů </w:t>
            </w:r>
            <w:r w:rsidR="00E17072">
              <w:rPr>
                <w:rFonts w:ascii="Cambria" w:hAnsi="Cambria" w:cs="Calibri"/>
                <w:color w:val="000000"/>
              </w:rPr>
              <w:t xml:space="preserve">ústavu </w:t>
            </w:r>
            <w:r w:rsidRPr="0036473A">
              <w:rPr>
                <w:rFonts w:ascii="Cambria" w:hAnsi="Cambria" w:cs="Calibri"/>
                <w:color w:val="000000"/>
              </w:rPr>
              <w:t>v</w:t>
            </w:r>
            <w:r w:rsidR="0036473A" w:rsidRPr="0036473A">
              <w:rPr>
                <w:rFonts w:ascii="Cambria" w:hAnsi="Cambria" w:cs="Calibri"/>
                <w:color w:val="000000"/>
              </w:rPr>
              <w:t> </w:t>
            </w:r>
            <w:r w:rsidRPr="0036473A">
              <w:rPr>
                <w:rFonts w:ascii="Cambria" w:hAnsi="Cambria" w:cs="Calibri"/>
                <w:color w:val="000000"/>
              </w:rPr>
              <w:t>oblastech</w:t>
            </w:r>
            <w:r w:rsidR="0036473A" w:rsidRPr="0036473A">
              <w:rPr>
                <w:rFonts w:ascii="Cambria" w:hAnsi="Cambria" w:cs="Calibri"/>
                <w:color w:val="000000"/>
              </w:rPr>
              <w:t>:</w:t>
            </w:r>
          </w:p>
          <w:p w14:paraId="0D9A50E2" w14:textId="4C6C2986" w:rsidR="00824AA8" w:rsidRPr="00715BF9" w:rsidRDefault="00824AA8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 xml:space="preserve">Čerpání prostředků na TČ </w:t>
            </w:r>
            <w:r w:rsidR="0042717A">
              <w:rPr>
                <w:rFonts w:ascii="Cambria" w:hAnsi="Cambria" w:cs="Calibri"/>
                <w:color w:val="000000"/>
              </w:rPr>
              <w:t>(</w:t>
            </w:r>
            <w:r w:rsidRPr="00715BF9">
              <w:rPr>
                <w:rFonts w:ascii="Cambria" w:hAnsi="Cambria" w:cs="Calibri"/>
                <w:color w:val="000000"/>
              </w:rPr>
              <w:t>v rámci Interní grantové soutěže</w:t>
            </w:r>
            <w:r w:rsidR="0042717A">
              <w:rPr>
                <w:rFonts w:ascii="Cambria" w:hAnsi="Cambria" w:cs="Calibri"/>
                <w:color w:val="000000"/>
              </w:rPr>
              <w:t>)</w:t>
            </w:r>
            <w:r w:rsidR="00FE31F9" w:rsidRPr="00715BF9">
              <w:rPr>
                <w:rFonts w:ascii="Cambria" w:hAnsi="Cambria" w:cs="Calibri"/>
                <w:color w:val="000000"/>
              </w:rPr>
              <w:t>.</w:t>
            </w:r>
          </w:p>
          <w:p w14:paraId="7153B839" w14:textId="31013A97" w:rsidR="0042717A" w:rsidRPr="00715BF9" w:rsidRDefault="0042717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42717A">
              <w:rPr>
                <w:rFonts w:ascii="Cambria" w:hAnsi="Cambria" w:cs="Calibri"/>
                <w:color w:val="000000"/>
              </w:rPr>
              <w:t xml:space="preserve">Zvýšení podílu studentů zapojených do oblasti </w:t>
            </w:r>
            <w:proofErr w:type="spellStart"/>
            <w:r w:rsidRPr="0042717A">
              <w:rPr>
                <w:rFonts w:ascii="Cambria" w:hAnsi="Cambria" w:cs="Calibri"/>
                <w:color w:val="000000"/>
              </w:rPr>
              <w:t>VaV</w:t>
            </w:r>
            <w:proofErr w:type="spellEnd"/>
            <w:r w:rsidRPr="0042717A">
              <w:rPr>
                <w:rFonts w:ascii="Cambria" w:hAnsi="Cambria" w:cs="Calibri"/>
                <w:color w:val="000000"/>
              </w:rPr>
              <w:t xml:space="preserve"> prostřednictvím studentských soutěží (SVOČ) a navazujících tvůrčích aktivit</w:t>
            </w:r>
            <w:r>
              <w:rPr>
                <w:rFonts w:ascii="Cambria" w:hAnsi="Cambria" w:cs="Calibri"/>
                <w:color w:val="000000"/>
              </w:rPr>
              <w:t xml:space="preserve">. </w:t>
            </w:r>
          </w:p>
          <w:p w14:paraId="07FEDE87" w14:textId="31A4B953" w:rsidR="00715BF9" w:rsidRDefault="00FE31F9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>Zvýšení H-indexu minimálně u 50</w:t>
            </w:r>
            <w:r w:rsidR="0036473A">
              <w:rPr>
                <w:rFonts w:ascii="Cambria" w:hAnsi="Cambria" w:cs="Calibri"/>
                <w:color w:val="000000"/>
              </w:rPr>
              <w:t xml:space="preserve"> </w:t>
            </w:r>
            <w:r w:rsidRPr="00715BF9">
              <w:rPr>
                <w:rFonts w:ascii="Cambria" w:hAnsi="Cambria" w:cs="Calibri"/>
                <w:color w:val="000000"/>
              </w:rPr>
              <w:t>% pracovníků</w:t>
            </w:r>
            <w:r w:rsidR="0042717A">
              <w:rPr>
                <w:rFonts w:ascii="Cambria" w:hAnsi="Cambria" w:cs="Calibri"/>
                <w:color w:val="000000"/>
              </w:rPr>
              <w:t xml:space="preserve"> (podpora citací).</w:t>
            </w:r>
          </w:p>
          <w:p w14:paraId="66CE29F3" w14:textId="48049603" w:rsidR="0042717A" w:rsidRPr="00715BF9" w:rsidRDefault="0042717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Zkvalitnění časopisů (podpora citací </w:t>
            </w:r>
            <w:proofErr w:type="spellStart"/>
            <w:r>
              <w:rPr>
                <w:rFonts w:ascii="Cambria" w:hAnsi="Cambria" w:cs="Calibri"/>
                <w:color w:val="000000"/>
              </w:rPr>
              <w:t>Littera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Scripta</w:t>
            </w:r>
            <w:proofErr w:type="spellEnd"/>
            <w:r>
              <w:rPr>
                <w:rFonts w:ascii="Cambria" w:hAnsi="Cambria" w:cs="Calibri"/>
                <w:color w:val="000000"/>
              </w:rPr>
              <w:t>).</w:t>
            </w:r>
          </w:p>
          <w:p w14:paraId="171E642B" w14:textId="4E4B942D" w:rsidR="007D1C62" w:rsidRPr="007D1C62" w:rsidRDefault="00715BF9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 xml:space="preserve">Spolupráce ve </w:t>
            </w:r>
            <w:proofErr w:type="spellStart"/>
            <w:r w:rsidRPr="00715BF9">
              <w:rPr>
                <w:rFonts w:ascii="Cambria" w:hAnsi="Cambria" w:cs="Calibri"/>
                <w:color w:val="000000"/>
              </w:rPr>
              <w:t>VaVaI</w:t>
            </w:r>
            <w:proofErr w:type="spellEnd"/>
            <w:r w:rsidRPr="00715BF9">
              <w:rPr>
                <w:rFonts w:ascii="Cambria" w:hAnsi="Cambria" w:cs="Calibri"/>
                <w:color w:val="000000"/>
              </w:rPr>
              <w:t xml:space="preserve"> (Univerzity, Výzkumné ústavy, partnerské instituce apod.) na národní úrovni. </w:t>
            </w:r>
          </w:p>
          <w:p w14:paraId="400792A6" w14:textId="2778FF88" w:rsidR="00715BF9" w:rsidRPr="007D1C62" w:rsidRDefault="009F135A" w:rsidP="00E17072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 w:cs="Calibri"/>
                <w:color w:val="000000"/>
              </w:rPr>
            </w:pPr>
            <w:r w:rsidRPr="00715BF9">
              <w:rPr>
                <w:rFonts w:ascii="Cambria" w:hAnsi="Cambria" w:cs="Calibri"/>
                <w:color w:val="000000"/>
              </w:rPr>
              <w:t>Zajištění všeobecně uznávaných odborníků pro výuku, konference, workshopy.</w:t>
            </w:r>
          </w:p>
        </w:tc>
      </w:tr>
      <w:tr w:rsidR="00E73240" w:rsidRPr="00E73240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A1829C5" w14:textId="6A048F73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>Pedagogický přínos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: aplikace moderních postupů a metod </w:t>
            </w:r>
            <w:r w:rsidR="00E17072" w:rsidRPr="00E73240">
              <w:rPr>
                <w:rFonts w:ascii="Cambria" w:hAnsi="Cambria"/>
                <w:bdr w:val="none" w:sz="0" w:space="0" w:color="auto" w:frame="1"/>
              </w:rPr>
              <w:t>pro výuku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 předmětů</w:t>
            </w:r>
            <w:r w:rsidR="0036473A" w:rsidRPr="00E73240">
              <w:rPr>
                <w:rFonts w:ascii="Cambria" w:hAnsi="Cambria"/>
                <w:bdr w:val="none" w:sz="0" w:space="0" w:color="auto" w:frame="1"/>
              </w:rPr>
              <w:t xml:space="preserve"> ekonomického charakteru </w:t>
            </w:r>
            <w:r w:rsidR="0036473A" w:rsidRPr="00E73240">
              <w:rPr>
                <w:rFonts w:ascii="Cambria" w:hAnsi="Cambria"/>
              </w:rPr>
              <w:t>v bakalářském a magisterském stupni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 reflektující potřeby praxe</w:t>
            </w:r>
            <w:r w:rsidR="00DD3CF6" w:rsidRPr="00E73240">
              <w:rPr>
                <w:rFonts w:ascii="Cambria" w:hAnsi="Cambria"/>
                <w:bdr w:val="none" w:sz="0" w:space="0" w:color="auto" w:frame="1"/>
              </w:rPr>
              <w:t>.</w:t>
            </w:r>
          </w:p>
          <w:p w14:paraId="5C07138D" w14:textId="77777777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</w:p>
          <w:p w14:paraId="1685EFC7" w14:textId="7454CAC4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>Výzkumná oblast</w:t>
            </w:r>
            <w:r w:rsidRPr="00E73240">
              <w:rPr>
                <w:rFonts w:ascii="Cambria" w:hAnsi="Cambria"/>
                <w:bdr w:val="none" w:sz="0" w:space="0" w:color="auto" w:frame="1"/>
              </w:rPr>
              <w:t xml:space="preserve">: </w:t>
            </w:r>
            <w:r w:rsidR="00B313D8" w:rsidRPr="00E73240">
              <w:rPr>
                <w:rFonts w:ascii="Cambria" w:hAnsi="Cambria"/>
                <w:bdr w:val="none" w:sz="0" w:space="0" w:color="auto" w:frame="1"/>
              </w:rPr>
              <w:t xml:space="preserve">výstupy grantu budou podkladem </w:t>
            </w:r>
            <w:r w:rsidR="007A75C0" w:rsidRPr="00E73240">
              <w:rPr>
                <w:rFonts w:ascii="Cambria" w:hAnsi="Cambria"/>
                <w:bdr w:val="none" w:sz="0" w:space="0" w:color="auto" w:frame="1"/>
              </w:rPr>
              <w:t>pro nabídkovou činnost podnikatelskému, nepodnikatelskému a státnímu sektoru.</w:t>
            </w:r>
            <w:r w:rsidR="00E17072" w:rsidRPr="00E73240">
              <w:rPr>
                <w:rFonts w:ascii="Cambria" w:hAnsi="Cambria"/>
                <w:bdr w:val="none" w:sz="0" w:space="0" w:color="auto" w:frame="1"/>
              </w:rPr>
              <w:t xml:space="preserve"> Zároveň zprostředkují nové poznatky pro pedagogickou činnost.</w:t>
            </w:r>
          </w:p>
          <w:p w14:paraId="2B4C59D2" w14:textId="77777777" w:rsidR="00DA715D" w:rsidRPr="00E73240" w:rsidRDefault="00DA715D" w:rsidP="00E17072">
            <w:pPr>
              <w:spacing w:after="120"/>
              <w:contextualSpacing/>
              <w:rPr>
                <w:rFonts w:ascii="Cambria" w:hAnsi="Cambria"/>
                <w:bdr w:val="none" w:sz="0" w:space="0" w:color="auto" w:frame="1"/>
              </w:rPr>
            </w:pPr>
          </w:p>
          <w:p w14:paraId="5C05CB1D" w14:textId="2446BA65" w:rsidR="007D1C62" w:rsidRPr="00E73240" w:rsidRDefault="00DA715D" w:rsidP="00E17072">
            <w:pPr>
              <w:spacing w:after="120"/>
              <w:jc w:val="both"/>
              <w:rPr>
                <w:rFonts w:ascii="Cambria" w:hAnsi="Cambria"/>
                <w:bdr w:val="none" w:sz="0" w:space="0" w:color="auto" w:frame="1"/>
              </w:rPr>
            </w:pPr>
            <w:r w:rsidRPr="00E73240">
              <w:rPr>
                <w:rFonts w:ascii="Cambria" w:hAnsi="Cambria"/>
                <w:i/>
                <w:bdr w:val="none" w:sz="0" w:space="0" w:color="auto" w:frame="1"/>
              </w:rPr>
              <w:t xml:space="preserve">Zakázková činnost: </w:t>
            </w:r>
            <w:r w:rsidR="007A75C0" w:rsidRPr="00E73240">
              <w:rPr>
                <w:rFonts w:ascii="Cambria" w:hAnsi="Cambria"/>
                <w:bdr w:val="none" w:sz="0" w:space="0" w:color="auto" w:frame="1"/>
              </w:rPr>
              <w:t>P</w:t>
            </w:r>
            <w:r w:rsidR="007A75C0" w:rsidRPr="00E73240">
              <w:rPr>
                <w:rFonts w:ascii="Cambria" w:hAnsi="Cambria"/>
              </w:rPr>
              <w:t xml:space="preserve">rojektové výzkumné téma úzce souvisí s nabídkou výzkumné skupiny </w:t>
            </w:r>
            <w:r w:rsidR="00B27411" w:rsidRPr="00E73240">
              <w:rPr>
                <w:rFonts w:ascii="Cambria" w:hAnsi="Cambria"/>
              </w:rPr>
              <w:t>„</w:t>
            </w:r>
            <w:r w:rsidR="007A75C0" w:rsidRPr="00E73240">
              <w:rPr>
                <w:rFonts w:ascii="Cambria" w:hAnsi="Cambria"/>
              </w:rPr>
              <w:t>Finance</w:t>
            </w:r>
            <w:r w:rsidR="00B27411" w:rsidRPr="00E73240">
              <w:rPr>
                <w:rFonts w:ascii="Cambria" w:hAnsi="Cambria"/>
              </w:rPr>
              <w:t>“</w:t>
            </w:r>
            <w:r w:rsidR="007A75C0" w:rsidRPr="00E73240">
              <w:rPr>
                <w:rFonts w:ascii="Cambria" w:hAnsi="Cambria"/>
              </w:rPr>
              <w:t xml:space="preserve"> v oblasti zakázkové činnosti – dosažené výstupy budou nabízeny pro reálné uplatnění v</w:t>
            </w:r>
            <w:r w:rsidR="00416A70" w:rsidRPr="00E73240">
              <w:rPr>
                <w:rFonts w:ascii="Cambria" w:hAnsi="Cambria"/>
              </w:rPr>
              <w:t> </w:t>
            </w:r>
            <w:r w:rsidR="007A75C0" w:rsidRPr="00E73240">
              <w:rPr>
                <w:rFonts w:ascii="Cambria" w:hAnsi="Cambria"/>
              </w:rPr>
              <w:t>praxi</w:t>
            </w:r>
            <w:r w:rsidR="00416A70" w:rsidRPr="00E73240">
              <w:rPr>
                <w:rFonts w:ascii="Cambria" w:hAnsi="Cambria"/>
              </w:rPr>
              <w:t>. Nabídka se bude vztahovat na tyto konkrétní činnosti:</w:t>
            </w:r>
          </w:p>
          <w:p w14:paraId="24B671AA" w14:textId="77777777" w:rsidR="00416A70" w:rsidRPr="00E73240" w:rsidRDefault="007D1C62" w:rsidP="00416A70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i/>
                <w:bdr w:val="none" w:sz="0" w:space="0" w:color="auto" w:frame="1"/>
              </w:rPr>
            </w:pPr>
            <w:r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Optimalizace strategie nákupu elektřiny v lineárních časových řadách</w:t>
            </w:r>
            <w:r w:rsidR="00416A70"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.</w:t>
            </w:r>
          </w:p>
          <w:p w14:paraId="5C9FF463" w14:textId="759D0ADB" w:rsidR="00416A70" w:rsidRPr="00E73240" w:rsidRDefault="00B27411" w:rsidP="00416A70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i/>
                <w:bdr w:val="none" w:sz="0" w:space="0" w:color="auto" w:frame="1"/>
              </w:rPr>
            </w:pPr>
            <w:r w:rsidRPr="00E73240">
              <w:rPr>
                <w:rFonts w:ascii="Cambria" w:eastAsia="Times New Roman" w:hAnsi="Cambria" w:cstheme="minorHAnsi"/>
                <w:i/>
              </w:rPr>
              <w:t xml:space="preserve">Procesní mapa výrobního útvaru a provozní manuál s provázaností na </w:t>
            </w:r>
            <w:proofErr w:type="spellStart"/>
            <w:r w:rsidRPr="00E73240">
              <w:rPr>
                <w:rFonts w:ascii="Cambria" w:eastAsia="Times New Roman" w:hAnsi="Cambria" w:cstheme="minorHAnsi"/>
                <w:i/>
              </w:rPr>
              <w:t>back</w:t>
            </w:r>
            <w:proofErr w:type="spellEnd"/>
            <w:r w:rsidRPr="00E73240">
              <w:rPr>
                <w:rFonts w:ascii="Cambria" w:eastAsia="Times New Roman" w:hAnsi="Cambria" w:cstheme="minorHAnsi"/>
                <w:i/>
              </w:rPr>
              <w:t xml:space="preserve"> office systém za podmínek neurčitosti v poptávce.</w:t>
            </w:r>
            <w:r w:rsidR="00DA715D" w:rsidRPr="00E73240">
              <w:rPr>
                <w:rFonts w:ascii="Cambria" w:hAnsi="Cambria"/>
                <w:i/>
                <w:bdr w:val="none" w:sz="0" w:space="0" w:color="auto" w:frame="1"/>
              </w:rPr>
              <w:t xml:space="preserve">  </w:t>
            </w:r>
          </w:p>
          <w:p w14:paraId="2B26157B" w14:textId="1A482429" w:rsidR="007D1C62" w:rsidRPr="00E73240" w:rsidRDefault="007D1C62" w:rsidP="00416A70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eastAsia="Times New Roman" w:hAnsi="Cambria" w:cstheme="minorHAnsi"/>
                <w:i/>
              </w:rPr>
            </w:pPr>
            <w:r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Intervalová predikce současné hodnoty čistého příjmu výroby / projektu</w:t>
            </w:r>
            <w:r w:rsidR="00B27411" w:rsidRPr="00E73240">
              <w:rPr>
                <w:rFonts w:ascii="Cambria" w:eastAsia="Times New Roman" w:hAnsi="Cambria" w:cs="Calibri"/>
                <w:bCs/>
                <w:i/>
                <w:bdr w:val="none" w:sz="0" w:space="0" w:color="auto" w:frame="1"/>
                <w:lang w:eastAsia="cs-CZ"/>
              </w:rPr>
              <w:t>.</w:t>
            </w:r>
          </w:p>
        </w:tc>
      </w:tr>
      <w:tr w:rsidR="00DA715D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DA715D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4B9ACA2A" w14:textId="77777777" w:rsidR="00DA715D" w:rsidRPr="00C13A75" w:rsidRDefault="00DA715D" w:rsidP="00DA715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DA715D" w:rsidRPr="00C13A75" w:rsidRDefault="00DA715D" w:rsidP="00DA715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DA715D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DA715D" w:rsidRPr="00C13A75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0E30EBFE" w14:textId="1175AF47" w:rsidR="006D6B85" w:rsidRPr="002A61A2" w:rsidRDefault="00BD0DC2" w:rsidP="00416A70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Při predikci strategických veličin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se často naskýtá problém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volby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správné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predikční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metody</w:t>
            </w:r>
            <w:r w:rsidR="005B70AA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 To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se </w:t>
            </w:r>
            <w:r w:rsidR="005B70AA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 praxi </w:t>
            </w:r>
            <w:r w:rsidR="00A11933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nezřídka zúží na oblast statistických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metod. </w:t>
            </w:r>
            <w:r w:rsidR="00E3415F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Problém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E3415F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může nastat, je-li přijat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předpoklad, že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predikce</w:t>
            </w:r>
            <w:r w:rsidR="00BF6221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je objektivní mírou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rozpočtovaných veličin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Pokud by manažeři přistupovali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k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e konstrukci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predikční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hodnoty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jako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kompilátu objektivních, 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subjektivní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ch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, tvárných či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proměnlivých veličin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, </w:t>
            </w:r>
            <w:r w:rsidR="00DF562D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mají velkou šanci zpřesnit své odhady, potažmo na nich založených rozhodnutí</w:t>
            </w:r>
            <w:r w:rsidR="006D6B85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  <w:p w14:paraId="6ADAA0BF" w14:textId="5CDF78B6" w:rsidR="00DF562D" w:rsidRPr="002A61A2" w:rsidRDefault="00DF562D" w:rsidP="00416A70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Období post-Covid ekonomiky je charakteristické zvýšenou mírou nejistoty a neurčitosti, což s sebou nese </w:t>
            </w:r>
            <w:r w:rsidR="009F5F82"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zvýšené 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nároky na správnou volbu predikčních metod. </w:t>
            </w:r>
            <w:r w:rsidR="009F5F82" w:rsidRPr="002A61A2">
              <w:rPr>
                <w:rFonts w:ascii="Cambria" w:hAnsi="Cambria"/>
                <w:color w:val="000000"/>
                <w:bdr w:val="none" w:sz="0" w:space="0" w:color="auto" w:frame="1"/>
              </w:rPr>
              <w:t>Z toho důvodu je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zájmu </w:t>
            </w:r>
            <w:r w:rsidR="00416A70">
              <w:rPr>
                <w:rFonts w:ascii="Cambria" w:hAnsi="Cambria"/>
                <w:color w:val="000000"/>
                <w:bdr w:val="none" w:sz="0" w:space="0" w:color="auto" w:frame="1"/>
              </w:rPr>
              <w:t>společností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poptávat výsledky projektu a </w:t>
            </w:r>
            <w:r w:rsidR="00416A70">
              <w:rPr>
                <w:rFonts w:ascii="Cambria" w:hAnsi="Cambria"/>
                <w:color w:val="000000"/>
                <w:bdr w:val="none" w:sz="0" w:space="0" w:color="auto" w:frame="1"/>
              </w:rPr>
              <w:t>aplikovat je ve své praxi</w:t>
            </w:r>
            <w:r w:rsidRPr="002A61A2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</w:p>
          <w:p w14:paraId="4BB160E1" w14:textId="0E15B025" w:rsidR="00B27411" w:rsidRPr="00B27411" w:rsidRDefault="00B27411" w:rsidP="00416A70">
            <w:pPr>
              <w:pStyle w:val="Textkomente"/>
              <w:spacing w:after="120"/>
              <w:rPr>
                <w:rFonts w:ascii="Cambria" w:hAnsi="Cambria"/>
                <w:sz w:val="22"/>
                <w:szCs w:val="22"/>
              </w:rPr>
            </w:pPr>
            <w:r w:rsidRPr="002A61A2">
              <w:rPr>
                <w:rStyle w:val="Odkaznakoment"/>
                <w:rFonts w:ascii="Cambria" w:hAnsi="Cambria"/>
                <w:sz w:val="22"/>
                <w:szCs w:val="22"/>
              </w:rPr>
              <w:t/>
            </w:r>
            <w:r w:rsidRPr="002A61A2">
              <w:rPr>
                <w:rFonts w:ascii="Cambria" w:hAnsi="Cambria"/>
                <w:sz w:val="22"/>
                <w:szCs w:val="22"/>
              </w:rPr>
              <w:t>Předložený návrh navazuje na výzkum mající odkaz na WOS (</w:t>
            </w:r>
            <w:r w:rsidR="00D86195" w:rsidRPr="002A61A2">
              <w:rPr>
                <w:rFonts w:ascii="Cambria" w:hAnsi="Cambria" w:cs="Arial"/>
                <w:color w:val="222222"/>
                <w:sz w:val="22"/>
                <w:szCs w:val="22"/>
                <w:shd w:val="clear" w:color="auto" w:fill="FFFFFF"/>
              </w:rPr>
              <w:t>CALABRESE et al., 2019; ILBAHAR</w:t>
            </w:r>
            <w:r w:rsidR="00D86195" w:rsidRPr="002A61A2">
              <w:rPr>
                <w:rFonts w:ascii="Cambria" w:hAnsi="Cambria"/>
                <w:sz w:val="22"/>
                <w:szCs w:val="22"/>
              </w:rPr>
              <w:t xml:space="preserve"> et al., 2022; </w:t>
            </w:r>
            <w:r w:rsidRPr="002A61A2">
              <w:rPr>
                <w:rFonts w:ascii="Cambria" w:hAnsi="Cambria" w:cs="Arial"/>
                <w:color w:val="222222"/>
                <w:sz w:val="22"/>
                <w:szCs w:val="22"/>
                <w:shd w:val="clear" w:color="auto" w:fill="FFFFFF"/>
              </w:rPr>
              <w:t>OZTAYSI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86195" w:rsidRPr="002A61A2">
              <w:rPr>
                <w:rFonts w:ascii="Cambria" w:hAnsi="Cambria"/>
                <w:sz w:val="22"/>
                <w:szCs w:val="22"/>
              </w:rPr>
              <w:t xml:space="preserve">et al., 2021 apod.) 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a výzkum, který 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>je</w:t>
            </w:r>
            <w:r w:rsidRPr="002A61A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A61A2">
              <w:rPr>
                <w:rFonts w:ascii="Cambria" w:hAnsi="Cambria"/>
                <w:sz w:val="22"/>
                <w:szCs w:val="22"/>
              </w:rPr>
              <w:lastRenderedPageBreak/>
              <w:t>realizován jako součást mezinárodního grantu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2A61A2" w:rsidRPr="002A61A2">
              <w:rPr>
                <w:rFonts w:ascii="Cambria" w:hAnsi="Cambria"/>
                <w:caps/>
                <w:sz w:val="22"/>
                <w:szCs w:val="22"/>
              </w:rPr>
              <w:t>European Research Counsil</w:t>
            </w:r>
            <w:r w:rsidR="002A61A2" w:rsidRPr="002A61A2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E17072">
              <w:rPr>
                <w:rFonts w:ascii="Cambria" w:hAnsi="Cambria"/>
                <w:sz w:val="22"/>
                <w:szCs w:val="22"/>
              </w:rPr>
              <w:t xml:space="preserve">2021) – viz </w:t>
            </w:r>
            <w:r w:rsidR="00E17072">
              <w:rPr>
                <w:rFonts w:ascii="Cambria" w:hAnsi="Cambria"/>
                <w:i/>
                <w:sz w:val="22"/>
                <w:szCs w:val="22"/>
              </w:rPr>
              <w:t>Z</w:t>
            </w:r>
            <w:r w:rsidR="00E17072" w:rsidRPr="00E17072">
              <w:rPr>
                <w:rFonts w:ascii="Cambria" w:hAnsi="Cambria"/>
                <w:i/>
                <w:sz w:val="22"/>
                <w:szCs w:val="22"/>
              </w:rPr>
              <w:t>droje</w:t>
            </w:r>
            <w:r w:rsidR="00E17072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DA715D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DA715D" w:rsidRPr="00C13A75" w:rsidRDefault="00DA715D" w:rsidP="00DA715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sdt>
          <w:sdtPr>
            <w:rPr>
              <w:rFonts w:ascii="Cambria" w:hAnsi="Cambria"/>
              <w:color w:val="000000"/>
              <w:bdr w:val="none" w:sz="0" w:space="0" w:color="auto" w:frame="1"/>
            </w:rPr>
            <w:id w:val="-178503521"/>
            <w:placeholder>
              <w:docPart w:val="03F0D9A0AF0A4DAE98401F4C7EAB4C21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64EF28EC" w14:textId="51F2CA8F" w:rsidR="00DA715D" w:rsidRPr="006F0D7B" w:rsidRDefault="00A13523" w:rsidP="002A61A2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 xml:space="preserve">Analýza, syntéza, komparace metod, </w:t>
                </w:r>
                <w:r w:rsidR="00416A70" w:rsidRPr="00B2565F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analýza trendových funkcí, regresní analýza, strukturální analýza</w:t>
                </w: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, fuzzy metoda</w:t>
                </w:r>
              </w:p>
            </w:tc>
          </w:sdtContent>
        </w:sdt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D74EA84" w14:textId="718A033A" w:rsidR="003E3D4E" w:rsidRDefault="00DA715D" w:rsidP="002839D9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>V rámci zaměření výzkumné skupiny na "</w:t>
            </w:r>
            <w:r w:rsidRPr="003D71C4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Měření hodnoty a výkonnosti firmy v 21. století</w:t>
            </w: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" projekt </w:t>
            </w:r>
            <w:r w:rsidR="00502771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bude </w:t>
            </w:r>
            <w:r w:rsidR="002A61A2" w:rsidRPr="003D71C4">
              <w:rPr>
                <w:rFonts w:ascii="Cambria" w:hAnsi="Cambria"/>
                <w:color w:val="000000"/>
                <w:bdr w:val="none" w:sz="0" w:space="0" w:color="auto" w:frame="1"/>
              </w:rPr>
              <w:t>identifikovat</w:t>
            </w:r>
            <w:r w:rsidR="00502771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a hodnotit</w:t>
            </w: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predikční postupy a metody pro měření </w:t>
            </w:r>
            <w:r w:rsidR="00502771" w:rsidRPr="003D71C4">
              <w:rPr>
                <w:rFonts w:ascii="Cambria" w:hAnsi="Cambria"/>
                <w:color w:val="000000"/>
                <w:bdr w:val="none" w:sz="0" w:space="0" w:color="auto" w:frame="1"/>
              </w:rPr>
              <w:t>významných</w:t>
            </w: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502771" w:rsidRPr="003D71C4">
              <w:rPr>
                <w:rFonts w:ascii="Cambria" w:hAnsi="Cambria"/>
                <w:color w:val="000000"/>
                <w:bdr w:val="none" w:sz="0" w:space="0" w:color="auto" w:frame="1"/>
              </w:rPr>
              <w:t>podnikových veličin</w:t>
            </w: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podmínkách </w:t>
            </w:r>
            <w:r w:rsidR="00E3415F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jistoty, rizika a </w:t>
            </w: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>neurčitosti budoucího vývoje post-Covid ekonomiky.</w:t>
            </w:r>
          </w:p>
          <w:p w14:paraId="0137C7DD" w14:textId="2F0100FB" w:rsidR="002A61A2" w:rsidRPr="003D71C4" w:rsidRDefault="002A61A2" w:rsidP="002839D9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3D71C4">
              <w:rPr>
                <w:rFonts w:ascii="Cambria" w:hAnsi="Cambria"/>
                <w:color w:val="000000"/>
                <w:bdr w:val="none" w:sz="0" w:space="0" w:color="auto" w:frame="1"/>
              </w:rPr>
              <w:t>V první fázi bude realizována hluboká rešerše</w:t>
            </w:r>
            <w:r w:rsidR="0078747C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metod popisovaných v odborné literatuře </w:t>
            </w:r>
            <w:r w:rsidR="00510D53">
              <w:rPr>
                <w:rFonts w:ascii="Cambria" w:hAnsi="Cambria"/>
                <w:color w:val="000000"/>
                <w:bdr w:val="none" w:sz="0" w:space="0" w:color="auto" w:frame="1"/>
              </w:rPr>
              <w:t>pro účely predikce</w:t>
            </w:r>
            <w:r w:rsidR="0078747C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510D53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ekonomických </w:t>
            </w:r>
            <w:r w:rsidR="0078747C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podnikových </w:t>
            </w:r>
            <w:r w:rsidR="00510D53">
              <w:rPr>
                <w:rFonts w:ascii="Cambria" w:hAnsi="Cambria"/>
                <w:color w:val="000000"/>
                <w:bdr w:val="none" w:sz="0" w:space="0" w:color="auto" w:frame="1"/>
              </w:rPr>
              <w:t>veličin</w:t>
            </w:r>
            <w:r w:rsidR="0078747C" w:rsidRPr="003D71C4">
              <w:rPr>
                <w:rFonts w:ascii="Cambria" w:hAnsi="Cambria"/>
                <w:color w:val="000000"/>
                <w:bdr w:val="none" w:sz="0" w:space="0" w:color="auto" w:frame="1"/>
              </w:rPr>
              <w:t>. Druhá fáze otestuje vybrané predikční metody na historických datech</w:t>
            </w:r>
            <w:r w:rsidR="003D71C4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</w:t>
            </w:r>
            <w:r w:rsidR="00515109">
              <w:rPr>
                <w:rFonts w:ascii="Cambria" w:hAnsi="Cambria"/>
              </w:rPr>
              <w:t>více viz Etapy projektu</w:t>
            </w:r>
            <w:r w:rsidR="003D71C4" w:rsidRPr="003D71C4">
              <w:rPr>
                <w:rFonts w:ascii="Cambria" w:hAnsi="Cambria"/>
              </w:rPr>
              <w:t>)</w:t>
            </w:r>
            <w:r w:rsidR="00510D53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 Tyto </w:t>
            </w:r>
            <w:r w:rsidR="003D71C4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výstupy budou </w:t>
            </w:r>
            <w:r w:rsidR="0078747C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ve třetí fázi </w:t>
            </w:r>
            <w:r w:rsidR="003D71C4" w:rsidRPr="003D71C4">
              <w:rPr>
                <w:rFonts w:ascii="Cambria" w:hAnsi="Cambria"/>
                <w:color w:val="000000"/>
                <w:bdr w:val="none" w:sz="0" w:space="0" w:color="auto" w:frame="1"/>
              </w:rPr>
              <w:t>zhodnoceny co do vhodnosti aplikovatelnosti za podmínek jistoty, rizika a neurčitosti. Čtvrtá fáze vychází z</w:t>
            </w:r>
            <w:r w:rsidR="009B6A53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 výstupů </w:t>
            </w:r>
            <w:r w:rsidR="003D71C4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předchozích analýz </w:t>
            </w:r>
            <w:r w:rsidR="009B6A53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co do vhodnosti jejich aplikovatelnosti </w:t>
            </w:r>
            <w:r w:rsidR="00510D53">
              <w:rPr>
                <w:rFonts w:ascii="Cambria" w:hAnsi="Cambria"/>
                <w:color w:val="000000"/>
                <w:bdr w:val="none" w:sz="0" w:space="0" w:color="auto" w:frame="1"/>
              </w:rPr>
              <w:t>za různých stavů světa; v jejím rámci budou predikovány</w:t>
            </w:r>
            <w:r w:rsidR="003D71C4" w:rsidRPr="003D71C4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významné podnikové veličiny. Pátá fáze zhodnotí a porovná výsledky předchozích tří fází řešení projektu. Realizace všech fází je propojena s vědeckou dokumentací ve formě odborných článků.</w:t>
            </w:r>
          </w:p>
          <w:p w14:paraId="552B3FF3" w14:textId="1DDC7BA5" w:rsidR="003D71C4" w:rsidRPr="006F0D7B" w:rsidRDefault="003D71C4" w:rsidP="002839D9">
            <w:pPr>
              <w:spacing w:after="120"/>
              <w:jc w:val="both"/>
              <w:rPr>
                <w:rFonts w:ascii="Cambria" w:hAnsi="Cambria"/>
                <w:bCs/>
              </w:rPr>
            </w:pPr>
            <w:r w:rsidRPr="003D71C4">
              <w:rPr>
                <w:rFonts w:ascii="Cambria" w:hAnsi="Cambria"/>
              </w:rPr>
              <w:t xml:space="preserve">Projektové řízení: interní výzkumný projekt bude řízen dle nastavených etap </w:t>
            </w:r>
            <w:r>
              <w:rPr>
                <w:rFonts w:ascii="Cambria" w:hAnsi="Cambria"/>
              </w:rPr>
              <w:t xml:space="preserve">(viz níže) </w:t>
            </w:r>
            <w:r w:rsidRPr="003D71C4">
              <w:rPr>
                <w:rFonts w:ascii="Cambria" w:hAnsi="Cambria"/>
              </w:rPr>
              <w:t>pod přímým říz</w:t>
            </w:r>
            <w:r>
              <w:rPr>
                <w:rFonts w:ascii="Cambria" w:hAnsi="Cambria"/>
              </w:rPr>
              <w:t>ením garantky výzkumné skupiny „F</w:t>
            </w:r>
            <w:r w:rsidRPr="003D71C4">
              <w:rPr>
                <w:rFonts w:ascii="Cambria" w:hAnsi="Cambria"/>
              </w:rPr>
              <w:t>inance</w:t>
            </w:r>
            <w:r w:rsidR="00510D53">
              <w:rPr>
                <w:rFonts w:ascii="Cambria" w:hAnsi="Cambria"/>
              </w:rPr>
              <w:t xml:space="preserve">“. Pravidelně (2x měsíčně) </w:t>
            </w:r>
            <w:r w:rsidRPr="003D71C4">
              <w:rPr>
                <w:rFonts w:ascii="Cambria" w:hAnsi="Cambria"/>
              </w:rPr>
              <w:t>budou probíhat schůzky výzkumného týmu, kde budou kontrolovány dílčí výstupy. Smyslem tohoto řízení je naplnění předpokladů</w:t>
            </w:r>
            <w:r>
              <w:rPr>
                <w:rFonts w:ascii="Cambria" w:hAnsi="Cambria"/>
              </w:rPr>
              <w:t xml:space="preserve"> a plánu</w:t>
            </w:r>
            <w:r w:rsidRPr="003D71C4">
              <w:rPr>
                <w:rFonts w:ascii="Cambria" w:hAnsi="Cambria"/>
              </w:rPr>
              <w:t xml:space="preserve"> interního projektu. Komunikace bude probíhat </w:t>
            </w:r>
            <w:r>
              <w:rPr>
                <w:rFonts w:ascii="Cambria" w:hAnsi="Cambria"/>
              </w:rPr>
              <w:t>on-line formou přes MS Teams,</w:t>
            </w:r>
            <w:r w:rsidRPr="003D71C4">
              <w:rPr>
                <w:rFonts w:ascii="Cambria" w:hAnsi="Cambria"/>
              </w:rPr>
              <w:t xml:space="preserve"> e-mailovou</w:t>
            </w:r>
            <w:r>
              <w:rPr>
                <w:rFonts w:ascii="Cambria" w:hAnsi="Cambria"/>
              </w:rPr>
              <w:t xml:space="preserve"> formou a prezenční </w:t>
            </w:r>
            <w:r w:rsidRPr="003D71C4">
              <w:rPr>
                <w:rFonts w:ascii="Cambria" w:hAnsi="Cambria"/>
              </w:rPr>
              <w:t>formou.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/>
                <w:bdr w:val="none" w:sz="0" w:space="0" w:color="auto" w:frame="1"/>
              </w:rPr>
              <w:id w:val="-1236006296"/>
              <w:placeholder>
                <w:docPart w:val="2182B0CE10DE4C9AA268AD413C070EC7"/>
              </w:placeholder>
              <w:date w:fullDate="2022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212CEAD" w:rsidR="00164C75" w:rsidRPr="006F0D7B" w:rsidRDefault="00A13523" w:rsidP="00CA6AB8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1.1.2022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/>
                <w:bdr w:val="none" w:sz="0" w:space="0" w:color="auto" w:frame="1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1C237D8" w:rsidR="00164C75" w:rsidRPr="006F0D7B" w:rsidRDefault="00A13523" w:rsidP="00164C75">
                <w:pPr>
                  <w:jc w:val="both"/>
                  <w:rPr>
                    <w:rFonts w:ascii="Cambria" w:hAnsi="Cambria"/>
                    <w:color w:val="000000"/>
                    <w:bdr w:val="none" w:sz="0" w:space="0" w:color="auto" w:frame="1"/>
                  </w:rPr>
                </w:pPr>
                <w:r w:rsidRPr="006F0D7B">
                  <w:rPr>
                    <w:rFonts w:ascii="Cambria" w:hAnsi="Cambria"/>
                    <w:color w:val="000000"/>
                    <w:bdr w:val="none" w:sz="0" w:space="0" w:color="auto" w:frame="1"/>
                  </w:rPr>
                  <w:t>31.12.2022</w:t>
                </w:r>
              </w:p>
            </w:sdtContent>
          </w:sdt>
        </w:tc>
      </w:tr>
      <w:tr w:rsidR="00A13523" w:rsidRPr="00C340DE" w14:paraId="5D7529CF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A13523" w:rsidRPr="00C340DE" w:rsidRDefault="00A13523" w:rsidP="00A13523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</w:tcPr>
          <w:p w14:paraId="31D41FBB" w14:textId="51CB958F" w:rsidR="00A13523" w:rsidRPr="00383F2D" w:rsidRDefault="00383F2D" w:rsidP="002839D9">
            <w:pPr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L</w:t>
            </w:r>
            <w:r w:rsidR="00A13523"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eden-prosinec </w:t>
            </w:r>
            <w:r w:rsidR="00B2565F" w:rsidRPr="00383F2D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2022 </w:t>
            </w:r>
          </w:p>
          <w:p w14:paraId="0E4DF875" w14:textId="77777777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Analýza stávajících metod predikce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klíčových ekonomických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veličin podniku užívaných v rámci podnikové praxe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napříč odvětvími </w:t>
            </w:r>
            <w:r w:rsidR="009E2EED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– rešerše a popis dosavadního poznání ve zkoumané oblasti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(I.-III.)</w:t>
            </w:r>
          </w:p>
          <w:p w14:paraId="375CF347" w14:textId="77777777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Testování </w:t>
            </w:r>
            <w:r w:rsidR="002839D9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kvality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predikce vybraných veličin na historických datech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získaných z databáze CRIBIS za období 2016-2010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vybranými metodami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(analýza trendových funkcí, regresní analýza, strukturální analýza, fuzzy metoda) v rámci odvětví zpracovatelského průmyslu 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(I</w:t>
            </w:r>
            <w:r w:rsidR="006726A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.-IV.)</w:t>
            </w:r>
          </w:p>
          <w:p w14:paraId="083D679C" w14:textId="77777777" w:rsid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Vyhodnocení testů </w:t>
            </w:r>
            <w:r w:rsidR="002839D9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kvality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predikce </w:t>
            </w:r>
            <w:r w:rsidR="00624CDF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z historických dat 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(V.)</w:t>
            </w:r>
          </w:p>
          <w:p w14:paraId="387A7982" w14:textId="4F90FCC1" w:rsidR="00B2565F" w:rsidRPr="002839D9" w:rsidRDefault="00B2565F" w:rsidP="002839D9">
            <w:pPr>
              <w:pStyle w:val="Odstavecseseznamem"/>
              <w:numPr>
                <w:ilvl w:val="0"/>
                <w:numId w:val="31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2839D9">
              <w:rPr>
                <w:rFonts w:ascii="Cambria" w:hAnsi="Cambria"/>
                <w:color w:val="000000"/>
                <w:bdr w:val="none" w:sz="0" w:space="0" w:color="auto" w:frame="1"/>
              </w:rPr>
              <w:t>Krátkodobá predikce vybraných strategických veličin v post-Covid období vybranými metodami</w:t>
            </w:r>
            <w:r w:rsidR="00F45B80" w:rsidRP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(IV-IX.)</w:t>
            </w:r>
          </w:p>
          <w:p w14:paraId="767CDC2D" w14:textId="77777777" w:rsidR="004027AE" w:rsidRDefault="00902F00" w:rsidP="004027AE">
            <w:pPr>
              <w:pStyle w:val="Odstavecseseznamem"/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*</w:t>
            </w:r>
            <w:r w:rsidR="00515109"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Průběžná zpráva (VI.)</w:t>
            </w:r>
          </w:p>
          <w:p w14:paraId="2D60D2EF" w14:textId="6587D582" w:rsidR="00B2565F" w:rsidRPr="004027AE" w:rsidRDefault="00E73240" w:rsidP="004027AE">
            <w:pPr>
              <w:spacing w:after="120"/>
              <w:ind w:left="357" w:firstLine="357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4027AE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lastRenderedPageBreak/>
              <w:t xml:space="preserve">5.  </w:t>
            </w:r>
            <w:r w:rsidR="00B2565F" w:rsidRPr="004027AE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etapa</w:t>
            </w:r>
            <w:r w:rsidR="00B2565F" w:rsidRP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  <w:r w:rsidR="00A13523" w:rsidRPr="004027AE">
              <w:rPr>
                <w:rFonts w:ascii="Cambria" w:hAnsi="Cambria"/>
                <w:color w:val="000000"/>
                <w:bdr w:val="none" w:sz="0" w:space="0" w:color="auto" w:frame="1"/>
              </w:rPr>
              <w:t>Komparace, zhodnocení</w:t>
            </w:r>
            <w:r w:rsidR="00F45B80" w:rsidRP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(X.)</w:t>
            </w:r>
          </w:p>
          <w:p w14:paraId="1DCF602F" w14:textId="3CEACA34" w:rsidR="00B2565F" w:rsidRPr="004B66A8" w:rsidRDefault="004B66A8" w:rsidP="002839D9">
            <w:pPr>
              <w:pStyle w:val="Odstavecseseznamem"/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4B66A8">
              <w:rPr>
                <w:rFonts w:ascii="Cambria" w:hAnsi="Cambria"/>
                <w:b/>
                <w:i/>
                <w:color w:val="000000"/>
                <w:bdr w:val="none" w:sz="0" w:space="0" w:color="auto" w:frame="1"/>
                <w:lang w:val="en-GB"/>
              </w:rPr>
              <w:t>*</w:t>
            </w:r>
            <w:r w:rsidR="00515109" w:rsidRPr="004B66A8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Závěrečná zpráva (XII.)</w:t>
            </w:r>
          </w:p>
          <w:p w14:paraId="6A5F0A91" w14:textId="285338ED" w:rsidR="00B2565F" w:rsidRDefault="00E17072" w:rsidP="002839D9">
            <w:p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>……………………………………………………………………………………………………………………</w:t>
            </w:r>
          </w:p>
          <w:p w14:paraId="5FF5DD83" w14:textId="1BBBA5E8" w:rsidR="00A13523" w:rsidRPr="00B2565F" w:rsidRDefault="00A13523" w:rsidP="002839D9">
            <w:pPr>
              <w:spacing w:after="120"/>
              <w:jc w:val="both"/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Články a příspěvky pro výstup v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 </w:t>
            </w:r>
            <w:r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ETMS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</w:t>
            </w:r>
            <w:r w:rsidR="009E2EED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–</w:t>
            </w:r>
            <w:r w:rsidR="00E17072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</w:t>
            </w:r>
            <w:r w:rsidR="009E2EED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viz sekce Finanční přínosy </w:t>
            </w:r>
            <w:r w:rsidR="00F45B80" w:rsidRPr="00B2565F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(II.-XII.)</w:t>
            </w:r>
          </w:p>
          <w:p w14:paraId="437014C9" w14:textId="4B7FC596" w:rsidR="009E2EED" w:rsidRDefault="009E2EED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1.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zaslány k recenznímu řízení do 03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6AE7C4C7" w14:textId="7426FA76" w:rsid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 xml:space="preserve">[1.703] </w:t>
            </w:r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P., Kučera J.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9E2EED">
              <w:rPr>
                <w:rFonts w:ascii="Cambria" w:hAnsi="Cambria"/>
                <w:color w:val="000000"/>
                <w:bdr w:val="none" w:sz="0" w:space="0" w:color="auto" w:frame="1"/>
              </w:rPr>
              <w:t>rešerše, mapování dosavadního poznání v oblasti metod užívaných k predikci významných podnikových charakteristik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napříč odvětvími)</w:t>
            </w:r>
          </w:p>
          <w:p w14:paraId="4CC2130E" w14:textId="6733801D" w:rsid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[1.704]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P., </w:t>
            </w:r>
            <w:proofErr w:type="spellStart"/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R.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(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rešerše, mapování dosavadního poznání v oblasti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fuzzy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metod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y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2839D9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užité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k predikci významných podnikových charakteristik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napříč odvětvími)</w:t>
            </w:r>
          </w:p>
          <w:p w14:paraId="1DBBB4CE" w14:textId="393A47A0" w:rsidR="009E2EED" w:rsidRPr="009F1A37" w:rsidRDefault="009F1A37" w:rsidP="002839D9">
            <w:pPr>
              <w:pStyle w:val="Odstavecseseznamem"/>
              <w:numPr>
                <w:ilvl w:val="0"/>
                <w:numId w:val="2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Neubergová A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Navrátilová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P</w:t>
            </w:r>
            <w:r w:rsidR="009E2EED" w:rsidRPr="009F1A37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 w:rsidRPr="009F1A37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(rešerše, mapování dosavadního poznání v oblasti statistických metod užívaných k predikci významných podnikových charakteristik napříč odvětvími)</w:t>
            </w:r>
          </w:p>
          <w:p w14:paraId="2BB4B049" w14:textId="45BDD6D2" w:rsidR="006726A0" w:rsidRDefault="006726A0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zaslány k recenznímu </w:t>
            </w: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řízení do 04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4DDBA288" w14:textId="1663704A" w:rsidR="006726A0" w:rsidRDefault="009F1A37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[1.703]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proofErr w:type="spellStart"/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Šuleř</w:t>
            </w:r>
            <w:proofErr w:type="spellEnd"/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P., Kučera J. (test věrohodnosti predikčních metod trendových funkcí v sektoru zpracovatelského průmyslu)</w:t>
            </w:r>
          </w:p>
          <w:p w14:paraId="752E302E" w14:textId="4D4CCF00" w:rsidR="006726A0" w:rsidRDefault="00902F00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Kučera</w:t>
            </w:r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J.,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(test věrohodnosti predikčních metod regresní a strukturální analýzy</w:t>
            </w:r>
            <w:r w:rsidR="00B2565F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sektoru zpracovatelského průmyslu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5CF6D830" w14:textId="1E6BD030" w:rsidR="009E2EED" w:rsidRDefault="009F1A37" w:rsidP="002839D9">
            <w:pPr>
              <w:pStyle w:val="Odstavecseseznamem"/>
              <w:numPr>
                <w:ilvl w:val="0"/>
                <w:numId w:val="28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[1.705] 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Neubergová A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Navrátilová P</w:t>
            </w:r>
            <w:r w:rsidR="006726A0" w:rsidRPr="009E2EED">
              <w:rPr>
                <w:rFonts w:ascii="Cambria" w:hAnsi="Cambria"/>
                <w:color w:val="000000"/>
                <w:bdr w:val="none" w:sz="0" w:space="0" w:color="auto" w:frame="1"/>
              </w:rPr>
              <w:t>.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(test věrohodnosti predikčních postupů fuzzy metody</w:t>
            </w:r>
            <w:r w:rsidR="00B2565F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v sektoru zpracovatelského průmyslu</w:t>
            </w:r>
            <w:r w:rsidR="006726A0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4F4D642B" w14:textId="1EE6FE5F" w:rsidR="00B2565F" w:rsidRDefault="00B2565F" w:rsidP="002839D9">
            <w:pPr>
              <w:pStyle w:val="Odstavecseseznamem"/>
              <w:numPr>
                <w:ilvl w:val="0"/>
                <w:numId w:val="17"/>
              </w:numPr>
              <w:spacing w:after="120"/>
              <w:contextualSpacing w:val="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3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. etapa: články </w:t>
            </w:r>
            <w:r w:rsid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zaslány k recenznímu </w:t>
            </w:r>
            <w:r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řízení do 05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6726A0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: </w:t>
            </w:r>
          </w:p>
          <w:p w14:paraId="3736DA1A" w14:textId="7C639D57" w:rsidR="00B2565F" w:rsidRDefault="00383F2D" w:rsidP="002839D9">
            <w:pPr>
              <w:pStyle w:val="Odstavecseseznamem"/>
              <w:numPr>
                <w:ilvl w:val="0"/>
                <w:numId w:val="29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 w:rsidR="00902F00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1.705]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Hašková S., </w:t>
            </w:r>
            <w:r w:rsidR="00E17072">
              <w:rPr>
                <w:rFonts w:ascii="Cambria" w:hAnsi="Cambria"/>
                <w:color w:val="000000"/>
                <w:bdr w:val="none" w:sz="0" w:space="0" w:color="auto" w:frame="1"/>
              </w:rPr>
              <w:t>Kučera J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proofErr w:type="spellStart"/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Kuchár</w:t>
            </w:r>
            <w:proofErr w:type="spellEnd"/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R. (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komparace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a</w:t>
            </w:r>
            <w:proofErr w:type="gramEnd"/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analýzy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predikčních metod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podnikových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</w:t>
            </w:r>
            <w:r w:rsidR="00824D54"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veličin </w:t>
            </w:r>
            <w:r w:rsidR="00B2565F" w:rsidRPr="00383F2D">
              <w:rPr>
                <w:rFonts w:ascii="Cambria" w:hAnsi="Cambria"/>
                <w:color w:val="000000"/>
                <w:bdr w:val="none" w:sz="0" w:space="0" w:color="auto" w:frame="1"/>
              </w:rPr>
              <w:t>v sektoru zpracovatelského průmyslu)</w:t>
            </w:r>
          </w:p>
          <w:p w14:paraId="26C25675" w14:textId="03A23EDC" w:rsidR="00B2565F" w:rsidRPr="002839D9" w:rsidRDefault="00383F2D" w:rsidP="002839D9">
            <w:pPr>
              <w:pStyle w:val="Odstavecseseznamem"/>
              <w:numPr>
                <w:ilvl w:val="0"/>
                <w:numId w:val="17"/>
              </w:numPr>
              <w:spacing w:after="120"/>
              <w:jc w:val="both"/>
              <w:rPr>
                <w:rFonts w:ascii="Cambria" w:hAnsi="Cambria"/>
                <w:b/>
                <w:color w:val="000000"/>
                <w:bdr w:val="none" w:sz="0" w:space="0" w:color="auto" w:frame="1"/>
              </w:rPr>
            </w:pP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4. 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+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 5. etapa: články </w:t>
            </w:r>
            <w:r w:rsidR="002839D9"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 xml:space="preserve">budou 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zaslány k recenznímu řízení do 11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  <w:lang w:val="en-GB"/>
              </w:rPr>
              <w:t>/</w:t>
            </w:r>
            <w:r w:rsidRPr="002839D9">
              <w:rPr>
                <w:rFonts w:ascii="Cambria" w:hAnsi="Cambria"/>
                <w:b/>
                <w:color w:val="000000"/>
                <w:bdr w:val="none" w:sz="0" w:space="0" w:color="auto" w:frame="1"/>
              </w:rPr>
              <w:t>2022:</w:t>
            </w:r>
          </w:p>
          <w:p w14:paraId="5D597E8D" w14:textId="1E097E3B" w:rsidR="00A13523" w:rsidRDefault="00383F2D" w:rsidP="007E2002">
            <w:pPr>
              <w:pStyle w:val="Odstavecseseznamem"/>
              <w:numPr>
                <w:ilvl w:val="0"/>
                <w:numId w:val="30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1.70</w:t>
            </w:r>
            <w:r w:rsidR="00E73240">
              <w:rPr>
                <w:rFonts w:ascii="Cambria" w:hAnsi="Cambria"/>
                <w:color w:val="000000"/>
                <w:bdr w:val="none" w:sz="0" w:space="0" w:color="auto" w:frame="1"/>
              </w:rPr>
              <w:t>4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] Hašková S.,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AP.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optimální přístup k predikci významných podnikových veličin ekonomického typu</w:t>
            </w:r>
            <w:r w:rsid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za rizika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71B5907E" w14:textId="385C2406" w:rsidR="00E73240" w:rsidRPr="007E2002" w:rsidRDefault="00E73240" w:rsidP="007E2002">
            <w:pPr>
              <w:pStyle w:val="Odstavecseseznamem"/>
              <w:numPr>
                <w:ilvl w:val="0"/>
                <w:numId w:val="30"/>
              </w:numPr>
              <w:spacing w:after="120"/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  <w:lang w:val="en-GB"/>
              </w:rPr>
              <w:t>[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1.704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] Hašková S.,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OA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., 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AP.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(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optimální přístup k predikci významných podnikových veličin ekonomického typu</w:t>
            </w:r>
            <w:r w:rsidR="004027AE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za neurčitosti</w:t>
            </w:r>
            <w:r w:rsidRPr="00383F2D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E17072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E17072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20CDA7D" w14:textId="46AA1124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Personální náklady: 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587 300</w:t>
            </w: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>,- Kč</w:t>
            </w:r>
          </w:p>
          <w:p w14:paraId="2226E9F1" w14:textId="77777777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49E9980B" w14:textId="43AC89D4" w:rsidR="00F45B80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Ostatní přímé náklady: 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207 000</w:t>
            </w:r>
            <w:r w:rsidRPr="006F0D7B">
              <w:rPr>
                <w:rFonts w:ascii="Cambria" w:hAnsi="Cambria"/>
                <w:color w:val="000000"/>
                <w:bdr w:val="none" w:sz="0" w:space="0" w:color="auto" w:frame="1"/>
              </w:rPr>
              <w:t>,- Kč (poplatky za články</w:t>
            </w:r>
            <w:r w:rsidR="00D048FC">
              <w:rPr>
                <w:rFonts w:ascii="Cambria" w:hAnsi="Cambria"/>
                <w:color w:val="000000"/>
                <w:bdr w:val="none" w:sz="0" w:space="0" w:color="auto" w:frame="1"/>
              </w:rPr>
              <w:t>)</w:t>
            </w:r>
          </w:p>
          <w:p w14:paraId="4D30601C" w14:textId="53E3E0B2" w:rsidR="00D048FC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682FF44A" w14:textId="1B815335" w:rsidR="00D048FC" w:rsidRPr="006F0D7B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Režijní náklady: </w:t>
            </w:r>
            <w:r w:rsidRPr="00D048FC">
              <w:rPr>
                <w:rFonts w:ascii="Cambria" w:hAnsi="Cambria"/>
                <w:color w:val="000000"/>
                <w:bdr w:val="none" w:sz="0" w:space="0" w:color="auto" w:frame="1"/>
              </w:rPr>
              <w:t>39 715,</w:t>
            </w:r>
            <w:r>
              <w:rPr>
                <w:rFonts w:ascii="Cambria" w:hAnsi="Cambria"/>
                <w:color w:val="000000"/>
                <w:bdr w:val="none" w:sz="0" w:space="0" w:color="auto" w:frame="1"/>
              </w:rPr>
              <w:t>-</w:t>
            </w:r>
            <w:r w:rsidRPr="00D048FC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Kč</w:t>
            </w:r>
          </w:p>
          <w:p w14:paraId="217AC181" w14:textId="77777777" w:rsidR="00F45B80" w:rsidRPr="006F0D7B" w:rsidRDefault="00F45B80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210D3DCC" w14:textId="542B8FA5" w:rsidR="00F45B80" w:rsidRPr="00D048FC" w:rsidRDefault="00D048FC" w:rsidP="00CA6AB8">
            <w:pPr>
              <w:jc w:val="both"/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</w:pP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Rozpočet projektu celkem: 834 015,- Kč</w:t>
            </w:r>
          </w:p>
          <w:p w14:paraId="7A2D468D" w14:textId="35F887EF" w:rsidR="00D048FC" w:rsidRDefault="00D048FC" w:rsidP="00CA6AB8">
            <w:pPr>
              <w:jc w:val="both"/>
              <w:rPr>
                <w:rFonts w:ascii="Cambria" w:hAnsi="Cambria"/>
                <w:color w:val="000000"/>
                <w:bdr w:val="none" w:sz="0" w:space="0" w:color="auto" w:frame="1"/>
              </w:rPr>
            </w:pPr>
          </w:p>
          <w:p w14:paraId="10BDC90F" w14:textId="445FAF29" w:rsidR="00D048FC" w:rsidRPr="00D048FC" w:rsidRDefault="00D048FC" w:rsidP="00CA6AB8">
            <w:pPr>
              <w:jc w:val="both"/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</w:pP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Náklady na PVS: 250 560,- Kč (2x PVS na 50</w:t>
            </w:r>
            <w:r w:rsidR="00423AA6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D048FC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% pracovního fondu)</w:t>
            </w:r>
          </w:p>
          <w:p w14:paraId="1414E475" w14:textId="57974A5E" w:rsidR="00750BC9" w:rsidRPr="00E4320C" w:rsidRDefault="00750BC9" w:rsidP="00E4320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E1707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432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E432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E432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E432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E432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E1707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26BC3543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</w:t>
                  </w:r>
                  <w:r w:rsidR="00FD615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05F72FA3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3F1B10A7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048F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387 161,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0C5AB2D5" w:rsidR="004C5513" w:rsidRPr="00E15591" w:rsidRDefault="00EC730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1D3282E8" w:rsidR="004C5513" w:rsidRPr="00E15591" w:rsidRDefault="00D048FC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323 489,-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624587FE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2D0EB940" w:rsidR="004C5513" w:rsidRPr="00E15591" w:rsidRDefault="00423AA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75908588" w:rsidR="004C5513" w:rsidRPr="00E15591" w:rsidRDefault="00423AA6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306 785,-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1572ECDD" w:rsidR="004C5513" w:rsidRPr="00E15591" w:rsidRDefault="00CF5692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Včetně PVS</w:t>
                  </w:r>
                </w:p>
              </w:tc>
            </w:tr>
            <w:tr w:rsidR="004C5513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3DA22439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</w:t>
                  </w:r>
                  <w:r w:rsidR="00FD615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354E74FC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86A644E" w14:textId="7A003DE4" w:rsidR="00A9082D" w:rsidRPr="00E17072" w:rsidRDefault="00423AA6" w:rsidP="00A9082D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23AA6">
              <w:rPr>
                <w:rFonts w:ascii="Cambria" w:hAnsi="Cambria"/>
                <w:b/>
                <w:i/>
                <w:iCs/>
              </w:rPr>
              <w:t>Celkem za zapsané výstupy v ETMS: 1 017 435,- Kč</w:t>
            </w: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77697607" w14:textId="77777777" w:rsidR="00E17072" w:rsidRDefault="00E17072">
      <w:pPr>
        <w:rPr>
          <w:rFonts w:ascii="Cambria" w:hAnsi="Cambria"/>
          <w:sz w:val="24"/>
          <w:szCs w:val="24"/>
        </w:rPr>
      </w:pPr>
    </w:p>
    <w:p w14:paraId="04E211D8" w14:textId="04643DC0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18ED5054" w:rsidR="00CB2A4F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502771">
        <w:rPr>
          <w:rFonts w:ascii="Cambria" w:hAnsi="Cambria"/>
          <w:sz w:val="24"/>
          <w:szCs w:val="24"/>
        </w:rPr>
        <w:t xml:space="preserve"> </w:t>
      </w:r>
      <w:r w:rsidR="00E3415F">
        <w:rPr>
          <w:rFonts w:ascii="Cambria" w:hAnsi="Cambria"/>
          <w:sz w:val="24"/>
          <w:szCs w:val="24"/>
        </w:rPr>
        <w:t>10. 12. 2021</w:t>
      </w:r>
    </w:p>
    <w:p w14:paraId="632F73EA" w14:textId="2D9EEC11" w:rsidR="00E17072" w:rsidRPr="00C340DE" w:rsidRDefault="00E17072" w:rsidP="00CB2A4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Ing.  Simona Hašková, Ph.D.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60A1091F" w:rsidR="00F901EB" w:rsidRDefault="00F901EB">
      <w:pPr>
        <w:rPr>
          <w:rFonts w:ascii="Cambria" w:hAnsi="Cambria"/>
          <w:sz w:val="24"/>
          <w:szCs w:val="24"/>
        </w:rPr>
      </w:pPr>
    </w:p>
    <w:p w14:paraId="0A460B1A" w14:textId="04FD5141" w:rsidR="002A61A2" w:rsidRDefault="002A61A2" w:rsidP="002A61A2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……………………………………………………………………………………………………………………………………………………..</w:t>
      </w:r>
    </w:p>
    <w:p w14:paraId="632CE72C" w14:textId="77777777" w:rsidR="002A61A2" w:rsidRDefault="002A61A2" w:rsidP="002A61A2">
      <w:pPr>
        <w:spacing w:after="120"/>
        <w:rPr>
          <w:rFonts w:ascii="Cambria" w:hAnsi="Cambria"/>
          <w:b/>
        </w:rPr>
      </w:pPr>
    </w:p>
    <w:p w14:paraId="1CE7D4BD" w14:textId="3C2499CB" w:rsidR="00B27411" w:rsidRPr="002A61A2" w:rsidRDefault="002A61A2" w:rsidP="002A61A2">
      <w:pPr>
        <w:spacing w:after="120"/>
        <w:rPr>
          <w:rFonts w:ascii="Cambria" w:hAnsi="Cambria"/>
          <w:b/>
        </w:rPr>
      </w:pPr>
      <w:r w:rsidRPr="002A61A2">
        <w:rPr>
          <w:rFonts w:ascii="Cambria" w:hAnsi="Cambria"/>
          <w:b/>
        </w:rPr>
        <w:t>Zdroje</w:t>
      </w:r>
    </w:p>
    <w:p w14:paraId="207504A3" w14:textId="77777777" w:rsidR="002A61A2" w:rsidRPr="002A61A2" w:rsidRDefault="002A61A2" w:rsidP="002A61A2">
      <w:pPr>
        <w:pStyle w:val="Nadpis1"/>
        <w:shd w:val="clear" w:color="auto" w:fill="FFFFFF"/>
        <w:spacing w:before="0" w:after="120"/>
        <w:textAlignment w:val="baseline"/>
        <w:rPr>
          <w:rFonts w:ascii="Cambria" w:hAnsi="Cambria" w:cs="Arial"/>
          <w:color w:val="auto"/>
          <w:sz w:val="22"/>
          <w:szCs w:val="22"/>
          <w:lang w:val="en-GB"/>
        </w:rPr>
      </w:pPr>
      <w:r w:rsidRPr="002A61A2">
        <w:rPr>
          <w:rFonts w:ascii="Cambria" w:hAnsi="Cambria"/>
          <w:caps/>
          <w:color w:val="auto"/>
          <w:sz w:val="22"/>
          <w:szCs w:val="22"/>
        </w:rPr>
        <w:t xml:space="preserve">European Research Council,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Strategic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Uncertainty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in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Economic</w:t>
      </w:r>
      <w:proofErr w:type="spellEnd"/>
      <w:r w:rsidRPr="002A61A2">
        <w:rPr>
          <w:rFonts w:ascii="Cambria" w:hAnsi="Cambria" w:cs="Arial"/>
          <w:i/>
          <w:color w:val="auto"/>
          <w:sz w:val="22"/>
          <w:szCs w:val="22"/>
        </w:rPr>
        <w:t xml:space="preserve"> </w:t>
      </w:r>
      <w:proofErr w:type="spellStart"/>
      <w:r w:rsidRPr="002A61A2">
        <w:rPr>
          <w:rFonts w:ascii="Cambria" w:hAnsi="Cambria" w:cs="Arial"/>
          <w:i/>
          <w:color w:val="auto"/>
          <w:sz w:val="22"/>
          <w:szCs w:val="22"/>
        </w:rPr>
        <w:t>Environments</w:t>
      </w:r>
      <w:proofErr w:type="spellEnd"/>
      <w:r w:rsidRPr="002A61A2">
        <w:rPr>
          <w:rFonts w:ascii="Cambria" w:hAnsi="Cambria" w:cs="Arial"/>
          <w:color w:val="auto"/>
          <w:sz w:val="22"/>
          <w:szCs w:val="22"/>
        </w:rPr>
        <w:t xml:space="preserve">, </w:t>
      </w:r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 xml:space="preserve">Grant </w:t>
      </w:r>
      <w:proofErr w:type="spellStart"/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>agreement</w:t>
      </w:r>
      <w:proofErr w:type="spellEnd"/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</w:rPr>
        <w:t xml:space="preserve"> ID: 759424 (2021). </w:t>
      </w:r>
      <w:r w:rsidRPr="002A61A2">
        <w:rPr>
          <w:rFonts w:ascii="Cambria" w:hAnsi="Cambria" w:cs="Arial"/>
          <w:color w:val="auto"/>
          <w:sz w:val="22"/>
          <w:szCs w:val="22"/>
          <w:shd w:val="clear" w:color="auto" w:fill="FAFAFA"/>
          <w:lang w:val="en-GB"/>
        </w:rPr>
        <w:t>[online] https://cordis.europa.eu/project/id/759424</w:t>
      </w:r>
    </w:p>
    <w:p w14:paraId="6AAEFA45" w14:textId="77777777" w:rsidR="002A61A2" w:rsidRPr="002A61A2" w:rsidRDefault="002A61A2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CALABRESE, Armando, et al.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Integrating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sustainability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into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strategic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decision-making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: A fuzzy AHP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method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for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the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selection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relevant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sustainability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issues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Technological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Forecasting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and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Social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Change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2019, 139: 155-168.</w:t>
      </w:r>
    </w:p>
    <w:p w14:paraId="1CE5C0E1" w14:textId="77777777" w:rsidR="002A61A2" w:rsidRPr="002A61A2" w:rsidRDefault="002A61A2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ILBAHAR,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Esra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KAHRAMAN,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Cengiz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CEBI,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Selcuk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. Risk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assessment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renewable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energy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investments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: A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modified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failure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mode and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effect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analysis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based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on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prospect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theory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and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intuitionistic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fuzzy AHP.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Energy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2022, 239: 121907.</w:t>
      </w:r>
    </w:p>
    <w:p w14:paraId="160A8B05" w14:textId="7135B489" w:rsidR="00B27411" w:rsidRPr="002A61A2" w:rsidRDefault="00B27411" w:rsidP="002A61A2">
      <w:pPr>
        <w:spacing w:after="120"/>
        <w:rPr>
          <w:rFonts w:ascii="Cambria" w:hAnsi="Cambria" w:cs="Arial"/>
          <w:color w:val="222222"/>
          <w:shd w:val="clear" w:color="auto" w:fill="FFFFFF"/>
        </w:rPr>
      </w:pPr>
      <w:r w:rsidRPr="002A61A2">
        <w:rPr>
          <w:rFonts w:ascii="Cambria" w:hAnsi="Cambria" w:cs="Arial"/>
          <w:color w:val="222222"/>
          <w:shd w:val="clear" w:color="auto" w:fill="FFFFFF"/>
        </w:rPr>
        <w:t xml:space="preserve">OZTAYSI,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Basar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ONAR,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Sezi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Cevik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; KAHRAMAN,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Cengiz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. Electric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Vehicle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Selection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by </w:t>
      </w:r>
      <w:proofErr w:type="spellStart"/>
      <w:r w:rsidRPr="002A61A2">
        <w:rPr>
          <w:rFonts w:ascii="Cambria" w:hAnsi="Cambria" w:cs="Arial"/>
          <w:color w:val="222222"/>
          <w:shd w:val="clear" w:color="auto" w:fill="FFFFFF"/>
        </w:rPr>
        <w:t>Using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 xml:space="preserve"> Fuzzy KEMIRA. 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Journal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of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Multiple-Valued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Logic</w:t>
      </w:r>
      <w:proofErr w:type="spellEnd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 xml:space="preserve"> &amp; Soft </w:t>
      </w:r>
      <w:proofErr w:type="spellStart"/>
      <w:r w:rsidRPr="002A61A2">
        <w:rPr>
          <w:rFonts w:ascii="Cambria" w:hAnsi="Cambria" w:cs="Arial"/>
          <w:i/>
          <w:iCs/>
          <w:color w:val="222222"/>
          <w:shd w:val="clear" w:color="auto" w:fill="FFFFFF"/>
        </w:rPr>
        <w:t>Computing</w:t>
      </w:r>
      <w:proofErr w:type="spellEnd"/>
      <w:r w:rsidRPr="002A61A2">
        <w:rPr>
          <w:rFonts w:ascii="Cambria" w:hAnsi="Cambria" w:cs="Arial"/>
          <w:color w:val="222222"/>
          <w:shd w:val="clear" w:color="auto" w:fill="FFFFFF"/>
        </w:rPr>
        <w:t>, 2021, 37.</w:t>
      </w:r>
    </w:p>
    <w:p w14:paraId="345BEB86" w14:textId="456741FB" w:rsidR="00B27411" w:rsidRDefault="00B2741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D749405" w14:textId="6C5F60F3" w:rsidR="00D86195" w:rsidRDefault="00D86195" w:rsidP="00D8619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F7B4857" w14:textId="0792EA08" w:rsidR="002A61A2" w:rsidRDefault="002A61A2" w:rsidP="00D8619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A28DFC4" w14:textId="37529E41" w:rsidR="002A61A2" w:rsidRPr="002A61A2" w:rsidRDefault="002A61A2" w:rsidP="00D86195">
      <w:pPr>
        <w:rPr>
          <w:rFonts w:ascii="Cambria" w:hAnsi="Cambria"/>
          <w:caps/>
          <w:sz w:val="24"/>
          <w:szCs w:val="24"/>
        </w:rPr>
      </w:pPr>
    </w:p>
    <w:sectPr w:rsidR="002A61A2" w:rsidRPr="002A61A2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BBFA" w14:textId="77777777" w:rsidR="00E17072" w:rsidRDefault="00E17072" w:rsidP="002D6C68">
      <w:pPr>
        <w:spacing w:after="0" w:line="240" w:lineRule="auto"/>
      </w:pPr>
      <w:r>
        <w:separator/>
      </w:r>
    </w:p>
  </w:endnote>
  <w:endnote w:type="continuationSeparator" w:id="0">
    <w:p w14:paraId="599E675D" w14:textId="77777777" w:rsidR="00E17072" w:rsidRDefault="00E17072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E17072" w:rsidRDefault="00E17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E17072" w:rsidRDefault="00E17072" w:rsidP="00855A77">
    <w:pPr>
      <w:pStyle w:val="Zpat"/>
      <w:tabs>
        <w:tab w:val="clear" w:pos="9072"/>
        <w:tab w:val="right" w:pos="9498"/>
      </w:tabs>
    </w:pPr>
    <w:r>
      <w:tab/>
    </w:r>
    <w:r>
      <w:tab/>
      <w:t>OŘ4/2021-1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E17072" w:rsidRDefault="00E17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830D" w14:textId="77777777" w:rsidR="00E17072" w:rsidRDefault="00E17072" w:rsidP="002D6C68">
      <w:pPr>
        <w:spacing w:after="0" w:line="240" w:lineRule="auto"/>
      </w:pPr>
      <w:r>
        <w:separator/>
      </w:r>
    </w:p>
  </w:footnote>
  <w:footnote w:type="continuationSeparator" w:id="0">
    <w:p w14:paraId="61D4281B" w14:textId="77777777" w:rsidR="00E17072" w:rsidRDefault="00E17072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E17072" w:rsidRDefault="00E17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E17072" w:rsidRPr="00855A77" w:rsidRDefault="00E17072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E17072" w:rsidRDefault="00E17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E17072" w:rsidRDefault="00E170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53E"/>
    <w:multiLevelType w:val="hybridMultilevel"/>
    <w:tmpl w:val="A45AB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40033"/>
    <w:multiLevelType w:val="hybridMultilevel"/>
    <w:tmpl w:val="C8283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67C4"/>
    <w:multiLevelType w:val="hybridMultilevel"/>
    <w:tmpl w:val="3D66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4D3F"/>
    <w:multiLevelType w:val="hybridMultilevel"/>
    <w:tmpl w:val="65C004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693058"/>
    <w:multiLevelType w:val="hybridMultilevel"/>
    <w:tmpl w:val="B03C6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070"/>
    <w:multiLevelType w:val="hybridMultilevel"/>
    <w:tmpl w:val="83DE3B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426FDC"/>
    <w:multiLevelType w:val="hybridMultilevel"/>
    <w:tmpl w:val="0F905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116FF"/>
    <w:multiLevelType w:val="hybridMultilevel"/>
    <w:tmpl w:val="D7D6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2190"/>
    <w:multiLevelType w:val="hybridMultilevel"/>
    <w:tmpl w:val="97CE28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052127"/>
    <w:multiLevelType w:val="hybridMultilevel"/>
    <w:tmpl w:val="4F7E15D0"/>
    <w:lvl w:ilvl="0" w:tplc="2D882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545"/>
    <w:multiLevelType w:val="hybridMultilevel"/>
    <w:tmpl w:val="D8F8292C"/>
    <w:lvl w:ilvl="0" w:tplc="32D0D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619E6"/>
    <w:multiLevelType w:val="hybridMultilevel"/>
    <w:tmpl w:val="9710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2423"/>
    <w:multiLevelType w:val="hybridMultilevel"/>
    <w:tmpl w:val="B25AB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A40"/>
    <w:multiLevelType w:val="hybridMultilevel"/>
    <w:tmpl w:val="B1E63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66DB"/>
    <w:multiLevelType w:val="hybridMultilevel"/>
    <w:tmpl w:val="A6E2A056"/>
    <w:lvl w:ilvl="0" w:tplc="9C1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C4EF4"/>
    <w:multiLevelType w:val="hybridMultilevel"/>
    <w:tmpl w:val="459CE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634AE"/>
    <w:multiLevelType w:val="hybridMultilevel"/>
    <w:tmpl w:val="4350B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CEA"/>
    <w:multiLevelType w:val="hybridMultilevel"/>
    <w:tmpl w:val="613A5194"/>
    <w:lvl w:ilvl="0" w:tplc="B822A5D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F163F"/>
    <w:multiLevelType w:val="hybridMultilevel"/>
    <w:tmpl w:val="60BA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6380F"/>
    <w:multiLevelType w:val="hybridMultilevel"/>
    <w:tmpl w:val="B6487FDA"/>
    <w:lvl w:ilvl="0" w:tplc="46AED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6605"/>
    <w:multiLevelType w:val="hybridMultilevel"/>
    <w:tmpl w:val="22660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5694"/>
    <w:multiLevelType w:val="hybridMultilevel"/>
    <w:tmpl w:val="8BB65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29"/>
  </w:num>
  <w:num w:numId="5">
    <w:abstractNumId w:val="11"/>
  </w:num>
  <w:num w:numId="6">
    <w:abstractNumId w:val="11"/>
  </w:num>
  <w:num w:numId="7">
    <w:abstractNumId w:val="18"/>
  </w:num>
  <w:num w:numId="8">
    <w:abstractNumId w:val="25"/>
  </w:num>
  <w:num w:numId="9">
    <w:abstractNumId w:val="26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7"/>
  </w:num>
  <w:num w:numId="20">
    <w:abstractNumId w:val="0"/>
  </w:num>
  <w:num w:numId="21">
    <w:abstractNumId w:val="6"/>
  </w:num>
  <w:num w:numId="22">
    <w:abstractNumId w:val="20"/>
  </w:num>
  <w:num w:numId="23">
    <w:abstractNumId w:val="24"/>
  </w:num>
  <w:num w:numId="24">
    <w:abstractNumId w:val="5"/>
  </w:num>
  <w:num w:numId="25">
    <w:abstractNumId w:val="3"/>
  </w:num>
  <w:num w:numId="26">
    <w:abstractNumId w:val="8"/>
  </w:num>
  <w:num w:numId="27">
    <w:abstractNumId w:val="2"/>
  </w:num>
  <w:num w:numId="28">
    <w:abstractNumId w:val="1"/>
  </w:num>
  <w:num w:numId="29">
    <w:abstractNumId w:val="27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C0496"/>
    <w:rsid w:val="000C2A79"/>
    <w:rsid w:val="000C5A32"/>
    <w:rsid w:val="000C6E7E"/>
    <w:rsid w:val="000C7622"/>
    <w:rsid w:val="000D55BE"/>
    <w:rsid w:val="000D593A"/>
    <w:rsid w:val="000D607C"/>
    <w:rsid w:val="000E0908"/>
    <w:rsid w:val="0010133E"/>
    <w:rsid w:val="00107332"/>
    <w:rsid w:val="00122879"/>
    <w:rsid w:val="00125B2D"/>
    <w:rsid w:val="00142C58"/>
    <w:rsid w:val="001461CB"/>
    <w:rsid w:val="00162276"/>
    <w:rsid w:val="00164C75"/>
    <w:rsid w:val="00165F94"/>
    <w:rsid w:val="001A1D50"/>
    <w:rsid w:val="001B1BE5"/>
    <w:rsid w:val="001B6948"/>
    <w:rsid w:val="00200A72"/>
    <w:rsid w:val="002233BA"/>
    <w:rsid w:val="00231653"/>
    <w:rsid w:val="00232298"/>
    <w:rsid w:val="00252771"/>
    <w:rsid w:val="002749E3"/>
    <w:rsid w:val="002839D9"/>
    <w:rsid w:val="00286817"/>
    <w:rsid w:val="002873DB"/>
    <w:rsid w:val="00294751"/>
    <w:rsid w:val="002A61A2"/>
    <w:rsid w:val="002D6C68"/>
    <w:rsid w:val="002E0E65"/>
    <w:rsid w:val="002E3D71"/>
    <w:rsid w:val="00305C9F"/>
    <w:rsid w:val="00310AEC"/>
    <w:rsid w:val="00310F5F"/>
    <w:rsid w:val="0032601C"/>
    <w:rsid w:val="0033000A"/>
    <w:rsid w:val="00350A01"/>
    <w:rsid w:val="003541BB"/>
    <w:rsid w:val="00360D6D"/>
    <w:rsid w:val="003634DA"/>
    <w:rsid w:val="0036473A"/>
    <w:rsid w:val="00383F2D"/>
    <w:rsid w:val="00385594"/>
    <w:rsid w:val="00391ACC"/>
    <w:rsid w:val="003A11CA"/>
    <w:rsid w:val="003C344D"/>
    <w:rsid w:val="003D5B4F"/>
    <w:rsid w:val="003D71C4"/>
    <w:rsid w:val="003E09D4"/>
    <w:rsid w:val="003E3ABC"/>
    <w:rsid w:val="003E3D4E"/>
    <w:rsid w:val="004027AE"/>
    <w:rsid w:val="00406EB7"/>
    <w:rsid w:val="004074E6"/>
    <w:rsid w:val="00416A70"/>
    <w:rsid w:val="00423AA6"/>
    <w:rsid w:val="0042717A"/>
    <w:rsid w:val="0043643B"/>
    <w:rsid w:val="004604F0"/>
    <w:rsid w:val="00477EF7"/>
    <w:rsid w:val="00482080"/>
    <w:rsid w:val="004826A7"/>
    <w:rsid w:val="004920DE"/>
    <w:rsid w:val="00493F28"/>
    <w:rsid w:val="004B5E91"/>
    <w:rsid w:val="004B66A8"/>
    <w:rsid w:val="004C5513"/>
    <w:rsid w:val="004C79D4"/>
    <w:rsid w:val="004D0386"/>
    <w:rsid w:val="004D05A7"/>
    <w:rsid w:val="004D4514"/>
    <w:rsid w:val="004F1BEA"/>
    <w:rsid w:val="004F5C6D"/>
    <w:rsid w:val="00502771"/>
    <w:rsid w:val="00510D53"/>
    <w:rsid w:val="00515109"/>
    <w:rsid w:val="00517197"/>
    <w:rsid w:val="005406FF"/>
    <w:rsid w:val="00596C21"/>
    <w:rsid w:val="005B70AA"/>
    <w:rsid w:val="005F1B27"/>
    <w:rsid w:val="005F58B4"/>
    <w:rsid w:val="005F79F8"/>
    <w:rsid w:val="006035BE"/>
    <w:rsid w:val="0061655F"/>
    <w:rsid w:val="00622305"/>
    <w:rsid w:val="00624849"/>
    <w:rsid w:val="00624CDF"/>
    <w:rsid w:val="00625DA1"/>
    <w:rsid w:val="00627670"/>
    <w:rsid w:val="00636AB9"/>
    <w:rsid w:val="00636DF9"/>
    <w:rsid w:val="006717D1"/>
    <w:rsid w:val="006726A0"/>
    <w:rsid w:val="006748C6"/>
    <w:rsid w:val="006D6B85"/>
    <w:rsid w:val="006F0D7B"/>
    <w:rsid w:val="006F11B8"/>
    <w:rsid w:val="006F7A46"/>
    <w:rsid w:val="007026A9"/>
    <w:rsid w:val="007119F6"/>
    <w:rsid w:val="00715BF9"/>
    <w:rsid w:val="00741C1E"/>
    <w:rsid w:val="00750BC9"/>
    <w:rsid w:val="00764390"/>
    <w:rsid w:val="00766146"/>
    <w:rsid w:val="00782727"/>
    <w:rsid w:val="0078747C"/>
    <w:rsid w:val="00791E24"/>
    <w:rsid w:val="007963F0"/>
    <w:rsid w:val="007A75C0"/>
    <w:rsid w:val="007B17A8"/>
    <w:rsid w:val="007C1BA9"/>
    <w:rsid w:val="007C65CA"/>
    <w:rsid w:val="007D1C62"/>
    <w:rsid w:val="007E2002"/>
    <w:rsid w:val="007E331B"/>
    <w:rsid w:val="00800280"/>
    <w:rsid w:val="0080218B"/>
    <w:rsid w:val="00802BEB"/>
    <w:rsid w:val="00824AA8"/>
    <w:rsid w:val="00824D54"/>
    <w:rsid w:val="00827A2A"/>
    <w:rsid w:val="00834D1E"/>
    <w:rsid w:val="00855A77"/>
    <w:rsid w:val="0087678D"/>
    <w:rsid w:val="00896B81"/>
    <w:rsid w:val="008B701A"/>
    <w:rsid w:val="008F3435"/>
    <w:rsid w:val="00902F00"/>
    <w:rsid w:val="009047F9"/>
    <w:rsid w:val="00921546"/>
    <w:rsid w:val="00921652"/>
    <w:rsid w:val="009443B9"/>
    <w:rsid w:val="00960777"/>
    <w:rsid w:val="00961229"/>
    <w:rsid w:val="00987E8D"/>
    <w:rsid w:val="009B6A53"/>
    <w:rsid w:val="009C6546"/>
    <w:rsid w:val="009D64E9"/>
    <w:rsid w:val="009E2EED"/>
    <w:rsid w:val="009E3C70"/>
    <w:rsid w:val="009F135A"/>
    <w:rsid w:val="009F1A37"/>
    <w:rsid w:val="009F5F82"/>
    <w:rsid w:val="00A00BB2"/>
    <w:rsid w:val="00A1065C"/>
    <w:rsid w:val="00A11933"/>
    <w:rsid w:val="00A13523"/>
    <w:rsid w:val="00A50C03"/>
    <w:rsid w:val="00A52202"/>
    <w:rsid w:val="00A82E1C"/>
    <w:rsid w:val="00A9053E"/>
    <w:rsid w:val="00A9082D"/>
    <w:rsid w:val="00AE459C"/>
    <w:rsid w:val="00AE5D1C"/>
    <w:rsid w:val="00B0193C"/>
    <w:rsid w:val="00B2565F"/>
    <w:rsid w:val="00B2677E"/>
    <w:rsid w:val="00B26C57"/>
    <w:rsid w:val="00B27411"/>
    <w:rsid w:val="00B313D8"/>
    <w:rsid w:val="00B52434"/>
    <w:rsid w:val="00B52A47"/>
    <w:rsid w:val="00B72F95"/>
    <w:rsid w:val="00BD0DC2"/>
    <w:rsid w:val="00BD2B74"/>
    <w:rsid w:val="00BE2CE9"/>
    <w:rsid w:val="00BF6221"/>
    <w:rsid w:val="00C13A75"/>
    <w:rsid w:val="00C340DE"/>
    <w:rsid w:val="00C506DA"/>
    <w:rsid w:val="00C728F6"/>
    <w:rsid w:val="00C81C98"/>
    <w:rsid w:val="00C864AF"/>
    <w:rsid w:val="00C918FE"/>
    <w:rsid w:val="00CA0251"/>
    <w:rsid w:val="00CA6AB8"/>
    <w:rsid w:val="00CB2A4F"/>
    <w:rsid w:val="00CD5E09"/>
    <w:rsid w:val="00CD766E"/>
    <w:rsid w:val="00CF5692"/>
    <w:rsid w:val="00D014DB"/>
    <w:rsid w:val="00D048FC"/>
    <w:rsid w:val="00D06F75"/>
    <w:rsid w:val="00D075E5"/>
    <w:rsid w:val="00D35C0A"/>
    <w:rsid w:val="00D52D4D"/>
    <w:rsid w:val="00D673FF"/>
    <w:rsid w:val="00D86195"/>
    <w:rsid w:val="00D93C77"/>
    <w:rsid w:val="00DA715D"/>
    <w:rsid w:val="00DD3CF6"/>
    <w:rsid w:val="00DE1B96"/>
    <w:rsid w:val="00DF19A7"/>
    <w:rsid w:val="00DF562D"/>
    <w:rsid w:val="00E15591"/>
    <w:rsid w:val="00E17072"/>
    <w:rsid w:val="00E21CC9"/>
    <w:rsid w:val="00E3415F"/>
    <w:rsid w:val="00E3729C"/>
    <w:rsid w:val="00E4320C"/>
    <w:rsid w:val="00E468D1"/>
    <w:rsid w:val="00E556B5"/>
    <w:rsid w:val="00E5722F"/>
    <w:rsid w:val="00E57FD5"/>
    <w:rsid w:val="00E65C95"/>
    <w:rsid w:val="00E703CF"/>
    <w:rsid w:val="00E73240"/>
    <w:rsid w:val="00E75EAD"/>
    <w:rsid w:val="00E800B1"/>
    <w:rsid w:val="00E81CA4"/>
    <w:rsid w:val="00E81D8F"/>
    <w:rsid w:val="00E93810"/>
    <w:rsid w:val="00E958D4"/>
    <w:rsid w:val="00EA116E"/>
    <w:rsid w:val="00EA1C37"/>
    <w:rsid w:val="00EC7309"/>
    <w:rsid w:val="00ED5429"/>
    <w:rsid w:val="00EE2321"/>
    <w:rsid w:val="00EE5E2C"/>
    <w:rsid w:val="00EF0D2B"/>
    <w:rsid w:val="00EF1B52"/>
    <w:rsid w:val="00F239DA"/>
    <w:rsid w:val="00F45B80"/>
    <w:rsid w:val="00F47C16"/>
    <w:rsid w:val="00F70B45"/>
    <w:rsid w:val="00F775CB"/>
    <w:rsid w:val="00F81451"/>
    <w:rsid w:val="00F901EB"/>
    <w:rsid w:val="00FA1BC6"/>
    <w:rsid w:val="00FA691E"/>
    <w:rsid w:val="00FB7B01"/>
    <w:rsid w:val="00FD6155"/>
    <w:rsid w:val="00FE31F9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2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A1352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7827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20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A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FBB1DD681D5B468BBA998A9975F26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1A2EC-3F0D-40DE-91B6-557FCBBD921B}"/>
      </w:docPartPr>
      <w:docPartBody>
        <w:p w:rsidR="00123999" w:rsidRDefault="00471145" w:rsidP="00471145">
          <w:pPr>
            <w:pStyle w:val="FBB1DD681D5B468BBA998A9975F26BC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03F0D9A0AF0A4DAE98401F4C7EAB4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AE299-BA41-4BE3-840A-9225618ACF48}"/>
      </w:docPartPr>
      <w:docPartBody>
        <w:p w:rsidR="00471145" w:rsidRPr="00B52434" w:rsidRDefault="00471145" w:rsidP="00F265E7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471145" w:rsidRPr="00B52434" w:rsidRDefault="00471145" w:rsidP="00F265E7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123999" w:rsidRDefault="00471145" w:rsidP="00471145">
          <w:pPr>
            <w:pStyle w:val="03F0D9A0AF0A4DAE98401F4C7EAB4C2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23999"/>
    <w:rsid w:val="0014662C"/>
    <w:rsid w:val="002366F3"/>
    <w:rsid w:val="00471145"/>
    <w:rsid w:val="004E2003"/>
    <w:rsid w:val="005762EA"/>
    <w:rsid w:val="005A695E"/>
    <w:rsid w:val="005B603E"/>
    <w:rsid w:val="00737A28"/>
    <w:rsid w:val="007B6CC2"/>
    <w:rsid w:val="009F6706"/>
    <w:rsid w:val="00D57DDE"/>
    <w:rsid w:val="00DE0C28"/>
    <w:rsid w:val="00EF1608"/>
    <w:rsid w:val="00F265E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1145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FBB1DD681D5B468BBA998A9975F26BC8">
    <w:name w:val="FBB1DD681D5B468BBA998A9975F26BC8"/>
    <w:rsid w:val="00471145"/>
  </w:style>
  <w:style w:type="paragraph" w:customStyle="1" w:styleId="03F0D9A0AF0A4DAE98401F4C7EAB4C21">
    <w:name w:val="03F0D9A0AF0A4DAE98401F4C7EAB4C21"/>
    <w:rsid w:val="00471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C6AC-C721-40C4-8CD2-7787998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simona.haskova38@gmail.com</cp:lastModifiedBy>
  <cp:revision>2</cp:revision>
  <cp:lastPrinted>2021-04-01T08:42:00Z</cp:lastPrinted>
  <dcterms:created xsi:type="dcterms:W3CDTF">2021-12-20T13:29:00Z</dcterms:created>
  <dcterms:modified xsi:type="dcterms:W3CDTF">2021-12-20T13:29:00Z</dcterms:modified>
</cp:coreProperties>
</file>