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B4" w:rsidRPr="000733DD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0733DD">
        <w:rPr>
          <w:rFonts w:cs="Calibri"/>
          <w:b/>
          <w:noProof/>
          <w:color w:val="993333"/>
          <w:spacing w:val="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3AC4CA" wp14:editId="3A9C2DE9">
                <wp:simplePos x="0" y="0"/>
                <wp:positionH relativeFrom="column">
                  <wp:posOffset>-1954633</wp:posOffset>
                </wp:positionH>
                <wp:positionV relativeFrom="paragraph">
                  <wp:posOffset>-878530</wp:posOffset>
                </wp:positionV>
                <wp:extent cx="8028940" cy="276446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2764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53.9pt;margin-top:-69.2pt;width:632.2pt;height:2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" fillcolor="#fcfcfc" stroked="f">
                <v:fill color2="#f2f2f2" focus="100%" type="gradient"/>
              </v:rect>
            </w:pict>
          </mc:Fallback>
        </mc:AlternateContent>
      </w:r>
      <w:r w:rsidRPr="000733DD">
        <w:rPr>
          <w:b/>
          <w:noProof/>
          <w:color w:val="333397"/>
          <w:spacing w:val="4"/>
          <w:lang w:eastAsia="cs-CZ"/>
        </w:rPr>
        <w:drawing>
          <wp:anchor distT="0" distB="0" distL="114300" distR="114300" simplePos="0" relativeHeight="251660288" behindDoc="0" locked="0" layoutInCell="1" allowOverlap="1" wp14:anchorId="149A03C9" wp14:editId="738FFC13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33DD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0733DD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0733DD">
        <w:rPr>
          <w:b/>
          <w:color w:val="333397"/>
          <w:spacing w:val="4"/>
          <w:sz w:val="44"/>
          <w:szCs w:val="44"/>
        </w:rPr>
        <w:t xml:space="preserve"> </w:t>
      </w:r>
    </w:p>
    <w:p w:rsidR="00E431B4" w:rsidRPr="000A1179" w:rsidRDefault="00E431B4" w:rsidP="00E431B4">
      <w:pPr>
        <w:pStyle w:val="Zhlav"/>
        <w:ind w:left="425"/>
        <w:jc w:val="right"/>
        <w:rPr>
          <w:color w:val="333397"/>
          <w:sz w:val="8"/>
          <w:szCs w:val="8"/>
        </w:rPr>
      </w:pPr>
    </w:p>
    <w:p w:rsidR="00E431B4" w:rsidRPr="000733DD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0733DD">
        <w:rPr>
          <w:b/>
          <w:color w:val="333397"/>
        </w:rPr>
        <w:t>Vysoká škola technická a ekonomická v Českých Budějovicích</w:t>
      </w:r>
    </w:p>
    <w:p w:rsidR="00E431B4" w:rsidRDefault="00E431B4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>
        <w:rPr>
          <w:color w:val="333397"/>
        </w:rPr>
        <w:t xml:space="preserve">Součásti </w:t>
      </w:r>
      <w:r w:rsidRPr="001A0841">
        <w:rPr>
          <w:color w:val="333397"/>
        </w:rPr>
        <w:t xml:space="preserve">Státní závěrečné </w:t>
      </w:r>
      <w:r>
        <w:rPr>
          <w:color w:val="333397"/>
        </w:rPr>
        <w:t>zkoušky (SZZ)</w:t>
      </w:r>
    </w:p>
    <w:p w:rsidR="00E431B4" w:rsidRDefault="00E431B4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>
        <w:rPr>
          <w:color w:val="333397"/>
        </w:rPr>
        <w:t xml:space="preserve">Bakalářské studium - </w:t>
      </w:r>
      <w:r w:rsidR="00B15B11">
        <w:rPr>
          <w:color w:val="333397"/>
        </w:rPr>
        <w:t>Strojírenství</w:t>
      </w:r>
    </w:p>
    <w:p w:rsidR="00E431B4" w:rsidRDefault="00E431B4" w:rsidP="00E431B4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</w:p>
    <w:p w:rsidR="00E431B4" w:rsidRPr="001A0841" w:rsidRDefault="00B15B11" w:rsidP="00E431B4">
      <w:pPr>
        <w:tabs>
          <w:tab w:val="center" w:pos="4536"/>
        </w:tabs>
        <w:spacing w:after="400" w:line="360" w:lineRule="auto"/>
        <w:ind w:right="-3"/>
        <w:jc w:val="right"/>
        <w:rPr>
          <w:color w:val="333397"/>
        </w:rPr>
      </w:pPr>
      <w:r>
        <w:rPr>
          <w:color w:val="333397"/>
        </w:rPr>
        <w:t>DP_STR_P_č.1</w:t>
      </w:r>
      <w:r w:rsidR="00FB7F86">
        <w:rPr>
          <w:color w:val="333397"/>
        </w:rPr>
        <w:t>, DP_STR_K_č.1</w:t>
      </w:r>
    </w:p>
    <w:p w:rsidR="00E431B4" w:rsidRPr="00760083" w:rsidRDefault="00E431B4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Times New Roman" w:hAnsi="Times New Roman"/>
          <w:sz w:val="24"/>
          <w:szCs w:val="24"/>
        </w:rPr>
      </w:pPr>
      <w:r w:rsidRPr="00760083">
        <w:rPr>
          <w:rFonts w:ascii="Times New Roman" w:hAnsi="Times New Roman"/>
          <w:b/>
          <w:sz w:val="32"/>
          <w:szCs w:val="32"/>
          <w:u w:val="single"/>
        </w:rPr>
        <w:t xml:space="preserve">Státní závěrečné zkoušky v programu </w:t>
      </w:r>
      <w:r w:rsidR="00B15B11">
        <w:rPr>
          <w:rFonts w:ascii="Times New Roman" w:hAnsi="Times New Roman"/>
          <w:b/>
          <w:sz w:val="32"/>
          <w:szCs w:val="32"/>
          <w:u w:val="single"/>
        </w:rPr>
        <w:t>Strojírenství</w:t>
      </w:r>
    </w:p>
    <w:p w:rsidR="00760083" w:rsidRDefault="00760083" w:rsidP="00760083">
      <w:pPr>
        <w:spacing w:after="0"/>
        <w:rPr>
          <w:rFonts w:ascii="Times New Roman" w:hAnsi="Times New Roman"/>
        </w:rPr>
      </w:pPr>
    </w:p>
    <w:p w:rsidR="00E431B4" w:rsidRPr="00760083" w:rsidRDefault="00E431B4" w:rsidP="00E431B4">
      <w:pPr>
        <w:rPr>
          <w:rFonts w:ascii="Times New Roman" w:hAnsi="Times New Roman"/>
        </w:rPr>
      </w:pPr>
      <w:r w:rsidRPr="00760083">
        <w:rPr>
          <w:rFonts w:ascii="Times New Roman" w:hAnsi="Times New Roman"/>
        </w:rPr>
        <w:t xml:space="preserve">SZZ v programu </w:t>
      </w:r>
      <w:r w:rsidR="001B364E">
        <w:rPr>
          <w:rFonts w:ascii="Times New Roman" w:hAnsi="Times New Roman"/>
        </w:rPr>
        <w:t>Strojírenství</w:t>
      </w:r>
      <w:r w:rsidRPr="00760083">
        <w:rPr>
          <w:rFonts w:ascii="Times New Roman" w:hAnsi="Times New Roman"/>
        </w:rPr>
        <w:t xml:space="preserve"> jsou složeny ze 4 částí:</w:t>
      </w:r>
      <w:bookmarkStart w:id="0" w:name="_GoBack"/>
      <w:bookmarkEnd w:id="0"/>
    </w:p>
    <w:p w:rsidR="00E431B4" w:rsidRPr="000C31ED" w:rsidRDefault="00E431B4" w:rsidP="00E431B4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rPr>
          <w:b/>
        </w:rPr>
      </w:pPr>
      <w:r w:rsidRPr="000C31ED">
        <w:rPr>
          <w:b/>
        </w:rPr>
        <w:t xml:space="preserve">Část 1: </w:t>
      </w:r>
      <w:r w:rsidR="001B364E">
        <w:rPr>
          <w:b/>
        </w:rPr>
        <w:t>Strojírenství</w:t>
      </w:r>
      <w:r w:rsidR="001B364E" w:rsidRPr="000C31ED">
        <w:rPr>
          <w:b/>
        </w:rPr>
        <w:t xml:space="preserve"> </w:t>
      </w:r>
      <w:r w:rsidR="001B364E">
        <w:rPr>
          <w:b/>
        </w:rPr>
        <w:t>I.</w:t>
      </w:r>
    </w:p>
    <w:p w:rsidR="00E431B4" w:rsidRPr="000C31ED" w:rsidRDefault="00E431B4" w:rsidP="00E431B4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rPr>
          <w:b/>
        </w:rPr>
      </w:pPr>
      <w:r w:rsidRPr="000C31ED">
        <w:rPr>
          <w:b/>
        </w:rPr>
        <w:t xml:space="preserve">Část 2: </w:t>
      </w:r>
      <w:r w:rsidR="001B364E">
        <w:rPr>
          <w:b/>
        </w:rPr>
        <w:t>Strojírenství</w:t>
      </w:r>
      <w:r w:rsidR="001B364E" w:rsidRPr="000C31ED">
        <w:rPr>
          <w:b/>
        </w:rPr>
        <w:t xml:space="preserve"> </w:t>
      </w:r>
      <w:r w:rsidR="001B364E">
        <w:rPr>
          <w:b/>
        </w:rPr>
        <w:t>II.</w:t>
      </w:r>
    </w:p>
    <w:p w:rsidR="00E431B4" w:rsidRPr="001B364E" w:rsidRDefault="001B364E" w:rsidP="001B364E">
      <w:pPr>
        <w:pStyle w:val="Odstavecseseznamem"/>
        <w:numPr>
          <w:ilvl w:val="0"/>
          <w:numId w:val="2"/>
        </w:numPr>
        <w:spacing w:after="0"/>
        <w:ind w:left="284" w:hanging="284"/>
        <w:rPr>
          <w:b/>
        </w:rPr>
      </w:pPr>
      <w:r>
        <w:rPr>
          <w:b/>
        </w:rPr>
        <w:t xml:space="preserve">Část 3: </w:t>
      </w:r>
      <w:r w:rsidRPr="001B364E">
        <w:rPr>
          <w:b/>
        </w:rPr>
        <w:t>Mechanika</w:t>
      </w:r>
    </w:p>
    <w:p w:rsidR="00E431B4" w:rsidRPr="000C31ED" w:rsidRDefault="00E431B4" w:rsidP="00E431B4">
      <w:pPr>
        <w:pStyle w:val="Odstavecseseznamem"/>
        <w:spacing w:after="0" w:line="240" w:lineRule="auto"/>
        <w:ind w:left="284"/>
        <w:rPr>
          <w:b/>
          <w:sz w:val="10"/>
          <w:szCs w:val="10"/>
        </w:rPr>
      </w:pPr>
    </w:p>
    <w:p w:rsidR="00E431B4" w:rsidRPr="000C31ED" w:rsidRDefault="00E431B4" w:rsidP="00E431B4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rPr>
          <w:b/>
        </w:rPr>
      </w:pPr>
      <w:r w:rsidRPr="000C31ED">
        <w:rPr>
          <w:b/>
        </w:rPr>
        <w:t>Část 4: Obhajoba bakalářské práce</w:t>
      </w:r>
    </w:p>
    <w:p w:rsidR="00E431B4" w:rsidRDefault="00E431B4" w:rsidP="00E431B4">
      <w:pPr>
        <w:spacing w:after="0" w:line="240" w:lineRule="auto"/>
        <w:rPr>
          <w:b/>
          <w:sz w:val="24"/>
          <w:szCs w:val="24"/>
        </w:rPr>
      </w:pPr>
    </w:p>
    <w:tbl>
      <w:tblPr>
        <w:tblStyle w:val="Mkatabulky"/>
        <w:tblW w:w="4827" w:type="pct"/>
        <w:tblInd w:w="108" w:type="dxa"/>
        <w:tblLook w:val="04A0" w:firstRow="1" w:lastRow="0" w:firstColumn="1" w:lastColumn="0" w:noHBand="0" w:noVBand="1"/>
      </w:tblPr>
      <w:tblGrid>
        <w:gridCol w:w="4352"/>
        <w:gridCol w:w="5709"/>
      </w:tblGrid>
      <w:tr w:rsidR="00E431B4" w:rsidRPr="000A659F" w:rsidTr="00B15B11">
        <w:trPr>
          <w:trHeight w:hRule="exact" w:val="628"/>
        </w:trPr>
        <w:tc>
          <w:tcPr>
            <w:tcW w:w="2163" w:type="pct"/>
            <w:shd w:val="clear" w:color="auto" w:fill="B2A1C7" w:themeFill="accent4" w:themeFillTint="99"/>
          </w:tcPr>
          <w:p w:rsidR="00E431B4" w:rsidRPr="000A659F" w:rsidRDefault="00E431B4" w:rsidP="003A4677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Předmět SZZ</w:t>
            </w:r>
          </w:p>
        </w:tc>
        <w:tc>
          <w:tcPr>
            <w:tcW w:w="2837" w:type="pct"/>
            <w:shd w:val="clear" w:color="auto" w:fill="B2A1C7" w:themeFill="accent4" w:themeFillTint="99"/>
          </w:tcPr>
          <w:p w:rsidR="00E431B4" w:rsidRPr="000A659F" w:rsidRDefault="00E431B4" w:rsidP="003A46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A659F">
              <w:rPr>
                <w:b/>
                <w:sz w:val="24"/>
                <w:szCs w:val="24"/>
              </w:rPr>
              <w:t>Prerekvizity</w:t>
            </w:r>
            <w:proofErr w:type="spellEnd"/>
          </w:p>
          <w:p w:rsidR="00E431B4" w:rsidRPr="000A659F" w:rsidRDefault="00E431B4" w:rsidP="003A4677">
            <w:pPr>
              <w:jc w:val="center"/>
              <w:rPr>
                <w:sz w:val="24"/>
                <w:szCs w:val="24"/>
              </w:rPr>
            </w:pPr>
            <w:r w:rsidRPr="000A659F">
              <w:rPr>
                <w:sz w:val="24"/>
                <w:szCs w:val="24"/>
              </w:rPr>
              <w:t>(Předpokladem je absolvování modulů)</w:t>
            </w:r>
          </w:p>
        </w:tc>
      </w:tr>
      <w:tr w:rsidR="00E431B4" w:rsidRPr="001B364E" w:rsidTr="003A4677">
        <w:trPr>
          <w:trHeight w:hRule="exact" w:val="1700"/>
        </w:trPr>
        <w:tc>
          <w:tcPr>
            <w:tcW w:w="2163" w:type="pct"/>
            <w:vAlign w:val="center"/>
          </w:tcPr>
          <w:p w:rsidR="00E431B4" w:rsidRPr="001B364E" w:rsidRDefault="00B15B11" w:rsidP="003A4677">
            <w:pPr>
              <w:jc w:val="left"/>
              <w:rPr>
                <w:b/>
                <w:i/>
              </w:rPr>
            </w:pPr>
            <w:r w:rsidRPr="001B364E">
              <w:rPr>
                <w:b/>
              </w:rPr>
              <w:t>Strojírenství</w:t>
            </w:r>
            <w:r w:rsidR="001B364E" w:rsidRPr="001B364E">
              <w:rPr>
                <w:b/>
              </w:rPr>
              <w:t xml:space="preserve"> I.</w:t>
            </w:r>
          </w:p>
        </w:tc>
        <w:tc>
          <w:tcPr>
            <w:tcW w:w="2837" w:type="pct"/>
            <w:vAlign w:val="center"/>
          </w:tcPr>
          <w:p w:rsidR="00E431B4" w:rsidRPr="001B364E" w:rsidRDefault="001B364E" w:rsidP="003A4677">
            <w:pPr>
              <w:jc w:val="left"/>
            </w:pPr>
            <w:r w:rsidRPr="001B364E">
              <w:t>Nauka o materiálu I.</w:t>
            </w:r>
          </w:p>
          <w:p w:rsidR="001B364E" w:rsidRPr="001B364E" w:rsidRDefault="001B364E" w:rsidP="003A4677">
            <w:pPr>
              <w:jc w:val="left"/>
            </w:pPr>
            <w:r w:rsidRPr="001B364E">
              <w:t>Strojírenské technologie I.</w:t>
            </w:r>
          </w:p>
          <w:p w:rsidR="001B364E" w:rsidRPr="001B364E" w:rsidRDefault="001B364E" w:rsidP="003A4677">
            <w:pPr>
              <w:jc w:val="left"/>
            </w:pPr>
            <w:r w:rsidRPr="001B364E">
              <w:t>Strojírenské technologie II.</w:t>
            </w:r>
          </w:p>
          <w:p w:rsidR="001B364E" w:rsidRPr="001B364E" w:rsidRDefault="001B364E" w:rsidP="003A4677">
            <w:pPr>
              <w:jc w:val="left"/>
            </w:pPr>
            <w:r w:rsidRPr="001B364E">
              <w:t>Části a mechanismy strojů I.</w:t>
            </w:r>
          </w:p>
        </w:tc>
      </w:tr>
      <w:tr w:rsidR="001B364E" w:rsidRPr="001B364E" w:rsidTr="003A4677">
        <w:trPr>
          <w:trHeight w:hRule="exact" w:val="1700"/>
        </w:trPr>
        <w:tc>
          <w:tcPr>
            <w:tcW w:w="2163" w:type="pct"/>
            <w:vAlign w:val="center"/>
          </w:tcPr>
          <w:p w:rsidR="001B364E" w:rsidRPr="001B364E" w:rsidRDefault="001B364E" w:rsidP="003A4677">
            <w:pPr>
              <w:jc w:val="left"/>
              <w:rPr>
                <w:b/>
              </w:rPr>
            </w:pPr>
            <w:r w:rsidRPr="001B364E">
              <w:rPr>
                <w:b/>
              </w:rPr>
              <w:t>Strojírenství II.</w:t>
            </w:r>
          </w:p>
        </w:tc>
        <w:tc>
          <w:tcPr>
            <w:tcW w:w="2837" w:type="pct"/>
            <w:vAlign w:val="center"/>
          </w:tcPr>
          <w:p w:rsidR="001B364E" w:rsidRPr="001B364E" w:rsidRDefault="001B364E" w:rsidP="003A4677">
            <w:pPr>
              <w:jc w:val="left"/>
            </w:pPr>
            <w:r w:rsidRPr="001B364E">
              <w:t>Počítačem podporované konstruování I.</w:t>
            </w:r>
          </w:p>
          <w:p w:rsidR="001B364E" w:rsidRPr="001B364E" w:rsidRDefault="001B364E" w:rsidP="003A4677">
            <w:pPr>
              <w:jc w:val="left"/>
            </w:pPr>
            <w:r w:rsidRPr="001B364E">
              <w:t>Počítačem podporovaná výroba</w:t>
            </w:r>
          </w:p>
          <w:p w:rsidR="001B364E" w:rsidRPr="001B364E" w:rsidRDefault="001B364E" w:rsidP="003A4677">
            <w:pPr>
              <w:jc w:val="left"/>
            </w:pPr>
            <w:r w:rsidRPr="001B364E">
              <w:t>Technologie svařování kovů a nekovů</w:t>
            </w:r>
          </w:p>
          <w:p w:rsidR="001B364E" w:rsidRPr="001B364E" w:rsidRDefault="001B364E" w:rsidP="003A4677">
            <w:pPr>
              <w:jc w:val="left"/>
            </w:pPr>
            <w:r w:rsidRPr="001B364E">
              <w:t>Materiály ve strojírenské praxi</w:t>
            </w:r>
          </w:p>
        </w:tc>
      </w:tr>
      <w:tr w:rsidR="00E431B4" w:rsidRPr="001B364E" w:rsidTr="001B364E">
        <w:trPr>
          <w:trHeight w:hRule="exact" w:val="1612"/>
        </w:trPr>
        <w:tc>
          <w:tcPr>
            <w:tcW w:w="2163" w:type="pct"/>
            <w:vAlign w:val="center"/>
          </w:tcPr>
          <w:p w:rsidR="00E431B4" w:rsidRPr="001B364E" w:rsidRDefault="00B15B11" w:rsidP="003A4677">
            <w:pPr>
              <w:jc w:val="left"/>
              <w:rPr>
                <w:b/>
              </w:rPr>
            </w:pPr>
            <w:r w:rsidRPr="001B364E">
              <w:rPr>
                <w:b/>
              </w:rPr>
              <w:t>Mechanika</w:t>
            </w:r>
          </w:p>
        </w:tc>
        <w:tc>
          <w:tcPr>
            <w:tcW w:w="2837" w:type="pct"/>
            <w:vAlign w:val="center"/>
          </w:tcPr>
          <w:p w:rsidR="001B364E" w:rsidRPr="001B364E" w:rsidRDefault="001B364E" w:rsidP="001B364E">
            <w:pPr>
              <w:jc w:val="left"/>
            </w:pPr>
            <w:r w:rsidRPr="001B364E">
              <w:t>Pružnost a pevnost I.</w:t>
            </w:r>
          </w:p>
          <w:p w:rsidR="001B364E" w:rsidRPr="001B364E" w:rsidRDefault="001B364E" w:rsidP="001B364E">
            <w:pPr>
              <w:jc w:val="left"/>
            </w:pPr>
            <w:r w:rsidRPr="001B364E">
              <w:t>Termomechanika</w:t>
            </w:r>
          </w:p>
          <w:p w:rsidR="001B364E" w:rsidRPr="001B364E" w:rsidRDefault="001B364E" w:rsidP="001B364E">
            <w:pPr>
              <w:jc w:val="left"/>
            </w:pPr>
            <w:r w:rsidRPr="001B364E">
              <w:t>Kinematika</w:t>
            </w:r>
          </w:p>
          <w:p w:rsidR="00E431B4" w:rsidRPr="001B364E" w:rsidRDefault="001B364E" w:rsidP="001B364E">
            <w:pPr>
              <w:jc w:val="left"/>
            </w:pPr>
            <w:r w:rsidRPr="001B364E">
              <w:t>Statika</w:t>
            </w:r>
          </w:p>
        </w:tc>
      </w:tr>
    </w:tbl>
    <w:p w:rsidR="00E431B4" w:rsidRPr="001B364E" w:rsidRDefault="00E431B4" w:rsidP="00E431B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W w:w="482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2"/>
        <w:gridCol w:w="5709"/>
      </w:tblGrid>
      <w:tr w:rsidR="00E431B4" w:rsidRPr="001B364E" w:rsidTr="001B364E">
        <w:trPr>
          <w:trHeight w:hRule="exact" w:val="1377"/>
        </w:trPr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1B4" w:rsidRPr="001B364E" w:rsidRDefault="00E431B4" w:rsidP="003A467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B364E">
              <w:rPr>
                <w:b/>
                <w:sz w:val="20"/>
                <w:szCs w:val="20"/>
              </w:rPr>
              <w:t>Obhajoba bakalářské práce</w:t>
            </w:r>
          </w:p>
        </w:tc>
        <w:tc>
          <w:tcPr>
            <w:tcW w:w="2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1B4" w:rsidRPr="001B364E" w:rsidRDefault="00E431B4" w:rsidP="001B364E">
            <w:pPr>
              <w:spacing w:before="240" w:after="0" w:line="240" w:lineRule="auto"/>
              <w:rPr>
                <w:sz w:val="20"/>
                <w:szCs w:val="20"/>
              </w:rPr>
            </w:pPr>
            <w:r w:rsidRPr="001B364E">
              <w:rPr>
                <w:sz w:val="20"/>
                <w:szCs w:val="20"/>
              </w:rPr>
              <w:t>Bakalářská práce</w:t>
            </w:r>
          </w:p>
          <w:p w:rsidR="00E431B4" w:rsidRPr="001B364E" w:rsidRDefault="00E431B4" w:rsidP="003A467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C1DB7" w:rsidRDefault="00EC1DB7"/>
    <w:p w:rsidR="00760083" w:rsidRPr="001C681C" w:rsidRDefault="00760083" w:rsidP="00760083">
      <w:pPr>
        <w:spacing w:after="0" w:line="240" w:lineRule="auto"/>
        <w:jc w:val="center"/>
        <w:rPr>
          <w:szCs w:val="24"/>
        </w:rPr>
      </w:pPr>
      <w:r w:rsidRPr="001C681C">
        <w:rPr>
          <w:szCs w:val="24"/>
        </w:rPr>
        <w:t>Požadované kredity</w:t>
      </w:r>
    </w:p>
    <w:p w:rsidR="00760083" w:rsidRPr="001C681C" w:rsidRDefault="001B364E" w:rsidP="00760083">
      <w:pPr>
        <w:spacing w:after="0" w:line="240" w:lineRule="auto"/>
        <w:jc w:val="center"/>
        <w:rPr>
          <w:sz w:val="16"/>
          <w:szCs w:val="24"/>
        </w:rPr>
      </w:pPr>
      <w:r>
        <w:rPr>
          <w:sz w:val="16"/>
          <w:szCs w:val="24"/>
        </w:rPr>
        <w:t>160</w:t>
      </w:r>
      <w:r w:rsidR="00760083" w:rsidRPr="001C681C">
        <w:rPr>
          <w:sz w:val="16"/>
          <w:szCs w:val="24"/>
        </w:rPr>
        <w:t xml:space="preserve"> kreditů z povinných předmětů</w:t>
      </w:r>
    </w:p>
    <w:p w:rsidR="00760083" w:rsidRPr="001C681C" w:rsidRDefault="001B364E" w:rsidP="00760083">
      <w:pPr>
        <w:spacing w:after="0" w:line="240" w:lineRule="auto"/>
        <w:jc w:val="center"/>
        <w:rPr>
          <w:sz w:val="16"/>
          <w:szCs w:val="24"/>
        </w:rPr>
      </w:pPr>
      <w:r>
        <w:rPr>
          <w:sz w:val="16"/>
          <w:szCs w:val="24"/>
        </w:rPr>
        <w:t>14</w:t>
      </w:r>
      <w:r w:rsidR="00760083" w:rsidRPr="001C681C">
        <w:rPr>
          <w:sz w:val="16"/>
          <w:szCs w:val="24"/>
        </w:rPr>
        <w:t xml:space="preserve"> kreditů z povinně volitelných předmětů</w:t>
      </w:r>
    </w:p>
    <w:p w:rsidR="00760083" w:rsidRDefault="001B364E" w:rsidP="00760083">
      <w:pPr>
        <w:jc w:val="center"/>
      </w:pPr>
      <w:r>
        <w:rPr>
          <w:sz w:val="16"/>
          <w:szCs w:val="24"/>
        </w:rPr>
        <w:t>6</w:t>
      </w:r>
      <w:r w:rsidR="00760083" w:rsidRPr="001C681C">
        <w:rPr>
          <w:sz w:val="16"/>
          <w:szCs w:val="24"/>
        </w:rPr>
        <w:t xml:space="preserve"> kreditů z volitelných předmětů</w:t>
      </w:r>
    </w:p>
    <w:sectPr w:rsidR="00760083" w:rsidSect="00E431B4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B4"/>
    <w:rsid w:val="001B364E"/>
    <w:rsid w:val="00760083"/>
    <w:rsid w:val="00B15B11"/>
    <w:rsid w:val="00C055BE"/>
    <w:rsid w:val="00E126C3"/>
    <w:rsid w:val="00E431B4"/>
    <w:rsid w:val="00EC1DB7"/>
    <w:rsid w:val="00FB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Pavla Náhlíková</cp:lastModifiedBy>
  <cp:revision>3</cp:revision>
  <dcterms:created xsi:type="dcterms:W3CDTF">2020-02-12T08:46:00Z</dcterms:created>
  <dcterms:modified xsi:type="dcterms:W3CDTF">2021-04-30T07:45:00Z</dcterms:modified>
</cp:coreProperties>
</file>