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E1" w:rsidRPr="008E5EE6" w:rsidRDefault="00B81CE1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81CE1" w:rsidRPr="008E5EE6" w:rsidRDefault="00B81CE1">
      <w:pPr>
        <w:spacing w:line="368" w:lineRule="exact"/>
        <w:rPr>
          <w:rFonts w:asciiTheme="majorHAnsi" w:hAnsiTheme="majorHAnsi"/>
          <w:sz w:val="24"/>
          <w:szCs w:val="24"/>
        </w:rPr>
      </w:pPr>
    </w:p>
    <w:p w:rsidR="00B81CE1" w:rsidRPr="008E5EE6" w:rsidRDefault="00A16B84">
      <w:pPr>
        <w:ind w:left="80"/>
        <w:rPr>
          <w:rFonts w:asciiTheme="majorHAnsi" w:hAnsiTheme="majorHAnsi"/>
          <w:sz w:val="20"/>
          <w:szCs w:val="20"/>
        </w:rPr>
      </w:pPr>
      <w:r w:rsidRPr="008E5EE6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t>Tematické okruhy pro Státní závěrečné zkoušky</w:t>
      </w:r>
    </w:p>
    <w:p w:rsidR="00B81CE1" w:rsidRPr="008E5EE6" w:rsidRDefault="00B81CE1">
      <w:pPr>
        <w:spacing w:line="255" w:lineRule="exact"/>
        <w:rPr>
          <w:rFonts w:asciiTheme="majorHAnsi" w:hAnsiTheme="majorHAnsi"/>
          <w:sz w:val="24"/>
          <w:szCs w:val="24"/>
        </w:rPr>
      </w:pPr>
    </w:p>
    <w:p w:rsidR="008E5EE6" w:rsidRDefault="008E5EE6">
      <w:pPr>
        <w:tabs>
          <w:tab w:val="left" w:pos="1480"/>
        </w:tabs>
        <w:ind w:left="80"/>
        <w:rPr>
          <w:rFonts w:asciiTheme="majorHAnsi" w:eastAsia="Cambria" w:hAnsiTheme="majorHAnsi" w:cs="Cambria"/>
          <w:b/>
          <w:bCs/>
        </w:rPr>
      </w:pPr>
    </w:p>
    <w:p w:rsidR="00B81CE1" w:rsidRPr="008E5EE6" w:rsidRDefault="00A16B84">
      <w:pPr>
        <w:tabs>
          <w:tab w:val="left" w:pos="1480"/>
        </w:tabs>
        <w:ind w:left="80"/>
        <w:rPr>
          <w:rFonts w:asciiTheme="majorHAnsi" w:hAnsiTheme="majorHAnsi"/>
        </w:rPr>
      </w:pPr>
      <w:r w:rsidRPr="008E5EE6">
        <w:rPr>
          <w:rFonts w:asciiTheme="majorHAnsi" w:eastAsia="Cambria" w:hAnsiTheme="majorHAnsi" w:cs="Cambria"/>
          <w:b/>
          <w:bCs/>
        </w:rPr>
        <w:t>Obor:</w:t>
      </w:r>
      <w:r w:rsidRPr="008E5EE6">
        <w:rPr>
          <w:rFonts w:asciiTheme="majorHAnsi" w:hAnsiTheme="majorHAnsi"/>
        </w:rPr>
        <w:tab/>
      </w:r>
      <w:r w:rsidR="008E5EE6">
        <w:rPr>
          <w:rFonts w:asciiTheme="majorHAnsi" w:hAnsiTheme="majorHAnsi"/>
        </w:rPr>
        <w:tab/>
      </w:r>
      <w:r w:rsidRPr="008E5EE6">
        <w:rPr>
          <w:rFonts w:asciiTheme="majorHAnsi" w:eastAsia="Cambria" w:hAnsiTheme="majorHAnsi" w:cs="Cambria"/>
        </w:rPr>
        <w:t>Technologie dopravy a přepravy</w:t>
      </w:r>
    </w:p>
    <w:p w:rsidR="00B81CE1" w:rsidRPr="008E5EE6" w:rsidRDefault="00B81CE1">
      <w:pPr>
        <w:spacing w:line="242" w:lineRule="exact"/>
        <w:rPr>
          <w:rFonts w:asciiTheme="majorHAnsi" w:hAnsiTheme="majorHAnsi"/>
        </w:rPr>
      </w:pPr>
    </w:p>
    <w:p w:rsidR="00B81CE1" w:rsidRPr="008E5EE6" w:rsidRDefault="00A16B84">
      <w:pPr>
        <w:tabs>
          <w:tab w:val="left" w:pos="1480"/>
        </w:tabs>
        <w:ind w:left="80"/>
        <w:rPr>
          <w:rFonts w:asciiTheme="majorHAnsi" w:hAnsiTheme="majorHAnsi"/>
        </w:rPr>
      </w:pPr>
      <w:r w:rsidRPr="008E5EE6">
        <w:rPr>
          <w:rFonts w:asciiTheme="majorHAnsi" w:eastAsia="Cambria" w:hAnsiTheme="majorHAnsi" w:cs="Cambria"/>
          <w:b/>
          <w:bCs/>
        </w:rPr>
        <w:t>Název SZZ:</w:t>
      </w:r>
      <w:r w:rsidRPr="008E5EE6">
        <w:rPr>
          <w:rFonts w:asciiTheme="majorHAnsi" w:hAnsiTheme="majorHAnsi"/>
        </w:rPr>
        <w:tab/>
      </w:r>
      <w:r w:rsidR="008E5EE6">
        <w:rPr>
          <w:rFonts w:asciiTheme="majorHAnsi" w:hAnsiTheme="majorHAnsi"/>
        </w:rPr>
        <w:tab/>
      </w:r>
      <w:r w:rsidRPr="008E5EE6">
        <w:rPr>
          <w:rFonts w:asciiTheme="majorHAnsi" w:eastAsia="Cambria" w:hAnsiTheme="majorHAnsi" w:cs="Cambria"/>
        </w:rPr>
        <w:t>Blok D1 – Doprava a přeprava</w:t>
      </w:r>
    </w:p>
    <w:p w:rsidR="00B81CE1" w:rsidRPr="008E5EE6" w:rsidRDefault="00B81CE1">
      <w:pPr>
        <w:spacing w:line="200" w:lineRule="exact"/>
        <w:rPr>
          <w:rFonts w:asciiTheme="majorHAnsi" w:hAnsiTheme="majorHAnsi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</w:rPr>
      </w:pPr>
    </w:p>
    <w:p w:rsidR="00B81CE1" w:rsidRPr="008E5EE6" w:rsidRDefault="008E5EE6" w:rsidP="008E5EE6">
      <w:pPr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Prerekvizity</w:t>
      </w:r>
      <w:proofErr w:type="spellEnd"/>
      <w:r>
        <w:rPr>
          <w:rFonts w:asciiTheme="majorHAnsi" w:hAnsiTheme="majorHAnsi"/>
          <w:b/>
        </w:rPr>
        <w:t xml:space="preserve"> k SZZ:</w:t>
      </w:r>
      <w:r>
        <w:rPr>
          <w:rFonts w:asciiTheme="majorHAnsi" w:hAnsiTheme="majorHAnsi"/>
          <w:b/>
        </w:rPr>
        <w:tab/>
      </w:r>
      <w:r w:rsidRPr="008E5EE6">
        <w:rPr>
          <w:rFonts w:asciiTheme="majorHAnsi" w:hAnsiTheme="majorHAnsi"/>
        </w:rPr>
        <w:t>Logistické a přepravní technologie</w:t>
      </w:r>
    </w:p>
    <w:p w:rsidR="008E5EE6" w:rsidRPr="008E5EE6" w:rsidRDefault="008E5EE6" w:rsidP="008E5EE6">
      <w:pPr>
        <w:spacing w:line="360" w:lineRule="auto"/>
        <w:ind w:left="1440" w:firstLine="720"/>
        <w:rPr>
          <w:rFonts w:asciiTheme="majorHAnsi" w:hAnsiTheme="majorHAnsi"/>
        </w:rPr>
      </w:pPr>
      <w:r w:rsidRPr="008E5EE6">
        <w:rPr>
          <w:rFonts w:asciiTheme="majorHAnsi" w:hAnsiTheme="majorHAnsi"/>
        </w:rPr>
        <w:t>Dopravní politika</w:t>
      </w:r>
    </w:p>
    <w:p w:rsidR="008E5EE6" w:rsidRPr="008E5EE6" w:rsidRDefault="008E5EE6" w:rsidP="008E5EE6">
      <w:pPr>
        <w:spacing w:line="360" w:lineRule="auto"/>
        <w:ind w:left="1440" w:firstLine="720"/>
        <w:rPr>
          <w:rFonts w:asciiTheme="majorHAnsi" w:hAnsiTheme="majorHAnsi"/>
        </w:rPr>
      </w:pPr>
      <w:r w:rsidRPr="008E5EE6">
        <w:rPr>
          <w:rFonts w:asciiTheme="majorHAnsi" w:hAnsiTheme="majorHAnsi"/>
        </w:rPr>
        <w:t>Osobní doprava a přeprava</w:t>
      </w:r>
    </w:p>
    <w:p w:rsidR="008E5EE6" w:rsidRPr="008E5EE6" w:rsidRDefault="008E5EE6" w:rsidP="008E5EE6">
      <w:pPr>
        <w:spacing w:line="360" w:lineRule="auto"/>
        <w:ind w:left="1440" w:firstLine="720"/>
        <w:rPr>
          <w:rFonts w:asciiTheme="majorHAnsi" w:hAnsiTheme="majorHAnsi"/>
        </w:rPr>
      </w:pPr>
      <w:r w:rsidRPr="008E5EE6">
        <w:rPr>
          <w:rFonts w:asciiTheme="majorHAnsi" w:hAnsiTheme="majorHAnsi"/>
        </w:rPr>
        <w:t>Územní plánování a doprava</w:t>
      </w:r>
    </w:p>
    <w:p w:rsidR="00B81CE1" w:rsidRPr="008E5EE6" w:rsidRDefault="00B81CE1">
      <w:pPr>
        <w:spacing w:line="200" w:lineRule="exact"/>
        <w:rPr>
          <w:rFonts w:asciiTheme="majorHAnsi" w:hAnsiTheme="majorHAnsi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  <w:gridCol w:w="1340"/>
        <w:gridCol w:w="2340"/>
      </w:tblGrid>
      <w:tr w:rsidR="008E5EE6" w:rsidRPr="008E5EE6" w:rsidTr="008E5EE6">
        <w:trPr>
          <w:trHeight w:val="31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E5EE6" w:rsidRPr="008E5EE6" w:rsidRDefault="008E5EE6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Vypracoval: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E5EE6" w:rsidRPr="008E5EE6" w:rsidRDefault="008E5EE6">
            <w:pPr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hAnsiTheme="majorHAnsi"/>
                <w:sz w:val="20"/>
                <w:szCs w:val="20"/>
              </w:rPr>
              <w:t xml:space="preserve">  Ing. Ladislav Bartuška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E5EE6" w:rsidRPr="008E5EE6" w:rsidRDefault="008E5EE6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5EE6" w:rsidRPr="008E5EE6" w:rsidRDefault="008E5E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5EE6" w:rsidRPr="008E5EE6" w:rsidTr="008E5EE6">
        <w:trPr>
          <w:trHeight w:val="30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EE6" w:rsidRPr="008E5EE6" w:rsidRDefault="008E5E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EE6" w:rsidRPr="008E5EE6" w:rsidRDefault="008E5E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EE6" w:rsidRPr="008E5EE6" w:rsidRDefault="008E5E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EE6" w:rsidRPr="008E5EE6" w:rsidRDefault="008E5E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5EE6" w:rsidRPr="008E5EE6" w:rsidTr="008E5EE6">
        <w:trPr>
          <w:trHeight w:val="358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E5EE6" w:rsidRPr="008E5EE6" w:rsidRDefault="008E5EE6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Schválil garant oboru: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E5EE6" w:rsidRPr="008E5EE6" w:rsidRDefault="008E5EE6">
            <w:pPr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hAnsiTheme="majorHAnsi"/>
                <w:sz w:val="20"/>
                <w:szCs w:val="20"/>
              </w:rPr>
              <w:t xml:space="preserve">  doc. Ing. Rudolf Kampf, Ph.D.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E5EE6" w:rsidRPr="008E5EE6" w:rsidRDefault="008E5EE6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EE6" w:rsidRPr="008E5EE6" w:rsidRDefault="008E5E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5EE6" w:rsidRPr="008E5EE6" w:rsidTr="008E5EE6">
        <w:trPr>
          <w:trHeight w:val="37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EE6" w:rsidRPr="008E5EE6" w:rsidRDefault="008E5E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EE6" w:rsidRPr="008E5EE6" w:rsidRDefault="008E5E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EE6" w:rsidRPr="008E5EE6" w:rsidRDefault="008E5E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EE6" w:rsidRPr="008E5EE6" w:rsidRDefault="008E5E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81CE1" w:rsidRPr="008E5EE6" w:rsidRDefault="00B81CE1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</w:tblGrid>
      <w:tr w:rsidR="008E5EE6" w:rsidRPr="008E5EE6" w:rsidTr="008E5EE6">
        <w:trPr>
          <w:trHeight w:val="24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E5EE6" w:rsidRPr="008E5EE6" w:rsidRDefault="008E5EE6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5EE6" w:rsidRPr="008E5EE6" w:rsidRDefault="008E5EE6">
            <w:pPr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hAnsiTheme="majorHAnsi"/>
                <w:sz w:val="20"/>
                <w:szCs w:val="20"/>
              </w:rPr>
              <w:t xml:space="preserve">  7. 5. 2015</w:t>
            </w:r>
          </w:p>
        </w:tc>
      </w:tr>
      <w:tr w:rsidR="008E5EE6" w:rsidRPr="008E5EE6" w:rsidTr="008E5EE6">
        <w:trPr>
          <w:trHeight w:val="23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EE6" w:rsidRPr="008E5EE6" w:rsidRDefault="008E5E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EE6" w:rsidRPr="008E5EE6" w:rsidRDefault="008E5E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5EE6" w:rsidRPr="008E5EE6" w:rsidTr="008E5EE6">
        <w:trPr>
          <w:trHeight w:val="223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EE6" w:rsidRPr="008E5EE6" w:rsidRDefault="008E5EE6">
            <w:pPr>
              <w:spacing w:line="223" w:lineRule="exact"/>
              <w:ind w:left="80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Platnost od:</w:t>
            </w:r>
          </w:p>
          <w:p w:rsidR="008E5EE6" w:rsidRPr="008E5EE6" w:rsidRDefault="008E5EE6">
            <w:pPr>
              <w:spacing w:line="223" w:lineRule="exact"/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E5EE6" w:rsidRPr="008E5EE6" w:rsidRDefault="008E5EE6">
            <w:pPr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hAnsiTheme="majorHAnsi"/>
                <w:sz w:val="20"/>
                <w:szCs w:val="20"/>
              </w:rPr>
              <w:t xml:space="preserve">  AR 2015/2016</w:t>
            </w:r>
          </w:p>
        </w:tc>
      </w:tr>
      <w:tr w:rsidR="008E5EE6" w:rsidRPr="008E5EE6" w:rsidTr="008E5EE6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EE6" w:rsidRPr="008E5EE6" w:rsidRDefault="008E5EE6">
            <w:pPr>
              <w:spacing w:line="223" w:lineRule="exact"/>
              <w:ind w:left="80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Platnost do:</w:t>
            </w:r>
          </w:p>
          <w:p w:rsidR="008E5EE6" w:rsidRPr="008E5EE6" w:rsidRDefault="008E5EE6">
            <w:pPr>
              <w:spacing w:line="223" w:lineRule="exact"/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5EE6" w:rsidRPr="008E5EE6" w:rsidRDefault="008E5EE6">
            <w:pPr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hAnsiTheme="majorHAnsi"/>
                <w:sz w:val="20"/>
                <w:szCs w:val="20"/>
              </w:rPr>
              <w:t xml:space="preserve">  Odvolání</w:t>
            </w:r>
          </w:p>
        </w:tc>
      </w:tr>
    </w:tbl>
    <w:p w:rsidR="00B81CE1" w:rsidRPr="008E5EE6" w:rsidRDefault="00B81CE1">
      <w:pPr>
        <w:spacing w:line="318" w:lineRule="exact"/>
        <w:rPr>
          <w:rFonts w:asciiTheme="majorHAnsi" w:hAnsiTheme="majorHAnsi"/>
          <w:sz w:val="24"/>
          <w:szCs w:val="24"/>
        </w:rPr>
      </w:pPr>
    </w:p>
    <w:p w:rsidR="00B81CE1" w:rsidRPr="008E5EE6" w:rsidRDefault="00A16B84">
      <w:pPr>
        <w:spacing w:line="20" w:lineRule="exact"/>
        <w:rPr>
          <w:rFonts w:asciiTheme="majorHAnsi" w:hAnsiTheme="majorHAnsi"/>
          <w:sz w:val="24"/>
          <w:szCs w:val="24"/>
        </w:rPr>
      </w:pPr>
      <w:r w:rsidRPr="008E5EE6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AAEC605" wp14:editId="7DEF9F7B">
                <wp:simplePos x="0" y="0"/>
                <wp:positionH relativeFrom="column">
                  <wp:posOffset>6302375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9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81CE1" w:rsidRPr="008E5EE6" w:rsidRDefault="00B81CE1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B81CE1">
      <w:pPr>
        <w:spacing w:line="288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A16B84">
      <w:pPr>
        <w:rPr>
          <w:rFonts w:asciiTheme="majorHAnsi" w:hAnsiTheme="majorHAnsi"/>
          <w:sz w:val="20"/>
          <w:szCs w:val="20"/>
        </w:rPr>
      </w:pPr>
      <w:r w:rsidRPr="008E5EE6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lastRenderedPageBreak/>
        <w:t>Tematické okruhy</w:t>
      </w:r>
    </w:p>
    <w:p w:rsidR="00B81CE1" w:rsidRPr="008E5EE6" w:rsidRDefault="00B81CE1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B81CE1">
      <w:pPr>
        <w:spacing w:line="350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A16B84">
      <w:pPr>
        <w:rPr>
          <w:rFonts w:asciiTheme="majorHAnsi" w:hAnsiTheme="majorHAnsi"/>
          <w:sz w:val="20"/>
          <w:szCs w:val="20"/>
        </w:rPr>
      </w:pPr>
      <w:r w:rsidRPr="008E5EE6">
        <w:rPr>
          <w:rFonts w:asciiTheme="majorHAnsi" w:eastAsia="Cambria" w:hAnsiTheme="majorHAnsi" w:cs="Cambria"/>
          <w:b/>
          <w:bCs/>
        </w:rPr>
        <w:t>Dopravní politika</w:t>
      </w:r>
    </w:p>
    <w:p w:rsidR="00B81CE1" w:rsidRPr="008E5EE6" w:rsidRDefault="00B81CE1">
      <w:pPr>
        <w:spacing w:line="239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A16B84">
      <w:pPr>
        <w:numPr>
          <w:ilvl w:val="0"/>
          <w:numId w:val="1"/>
        </w:numPr>
        <w:tabs>
          <w:tab w:val="left" w:pos="720"/>
        </w:tabs>
        <w:spacing w:line="241" w:lineRule="auto"/>
        <w:ind w:left="720" w:right="600" w:hanging="366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>Význam a funkce dopravní politiky. Současná dopravní politika: platnost, obsah, nástroje a hlavní cíle dopravní politiky. Zdroje financování pro DP. Energie pro dopravu.</w:t>
      </w:r>
    </w:p>
    <w:p w:rsidR="00B81CE1" w:rsidRPr="008E5EE6" w:rsidRDefault="00B81CE1">
      <w:pPr>
        <w:spacing w:line="257" w:lineRule="exact"/>
        <w:rPr>
          <w:rFonts w:asciiTheme="majorHAnsi" w:eastAsia="Cambria" w:hAnsiTheme="majorHAnsi" w:cs="Cambria"/>
        </w:rPr>
      </w:pPr>
    </w:p>
    <w:p w:rsidR="00B81CE1" w:rsidRPr="008E5EE6" w:rsidRDefault="00A16B84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660" w:hanging="366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>Evropská dopravní politika, platnost, obsah, nástroje a hlavní cíle. Evropské dopravní sítě. Ochrana životního prostředí v EDP.</w:t>
      </w:r>
    </w:p>
    <w:p w:rsidR="00B81CE1" w:rsidRPr="008E5EE6" w:rsidRDefault="00B81CE1">
      <w:pPr>
        <w:spacing w:line="259" w:lineRule="exact"/>
        <w:rPr>
          <w:rFonts w:asciiTheme="majorHAnsi" w:eastAsia="Cambria" w:hAnsiTheme="majorHAnsi" w:cs="Cambria"/>
        </w:rPr>
      </w:pPr>
    </w:p>
    <w:p w:rsidR="00B81CE1" w:rsidRPr="008E5EE6" w:rsidRDefault="00A16B84">
      <w:pPr>
        <w:numPr>
          <w:ilvl w:val="0"/>
          <w:numId w:val="1"/>
        </w:numPr>
        <w:tabs>
          <w:tab w:val="left" w:pos="720"/>
        </w:tabs>
        <w:spacing w:line="241" w:lineRule="auto"/>
        <w:ind w:left="720" w:right="880" w:hanging="366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 xml:space="preserve">Dopravní politika ČR, hlavní cíle a cyklus DP pro ČR. Dopravní sítě, </w:t>
      </w:r>
      <w:proofErr w:type="spellStart"/>
      <w:r w:rsidRPr="008E5EE6">
        <w:rPr>
          <w:rFonts w:asciiTheme="majorHAnsi" w:eastAsia="Cambria" w:hAnsiTheme="majorHAnsi" w:cs="Cambria"/>
        </w:rPr>
        <w:t>modal</w:t>
      </w:r>
      <w:proofErr w:type="spellEnd"/>
      <w:r w:rsidRPr="008E5EE6">
        <w:rPr>
          <w:rFonts w:asciiTheme="majorHAnsi" w:eastAsia="Cambria" w:hAnsiTheme="majorHAnsi" w:cs="Cambria"/>
        </w:rPr>
        <w:t xml:space="preserve"> split, zajištění dopravní obslužnosti.</w:t>
      </w:r>
    </w:p>
    <w:p w:rsidR="00B81CE1" w:rsidRPr="008E5EE6" w:rsidRDefault="00B81CE1">
      <w:pPr>
        <w:spacing w:line="254" w:lineRule="exact"/>
        <w:rPr>
          <w:rFonts w:asciiTheme="majorHAnsi" w:eastAsia="Cambria" w:hAnsiTheme="majorHAnsi" w:cs="Cambria"/>
        </w:rPr>
      </w:pPr>
    </w:p>
    <w:p w:rsidR="00B81CE1" w:rsidRPr="008E5EE6" w:rsidRDefault="00A16B84">
      <w:pPr>
        <w:numPr>
          <w:ilvl w:val="0"/>
          <w:numId w:val="1"/>
        </w:numPr>
        <w:tabs>
          <w:tab w:val="left" w:pos="720"/>
        </w:tabs>
        <w:spacing w:line="241" w:lineRule="auto"/>
        <w:ind w:left="720" w:right="740" w:hanging="366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>Financování dopravy – zdroje financování, hrazení služby ve veřejném zájmu. Hodnocení infrastrukturálních projektů.</w:t>
      </w:r>
    </w:p>
    <w:p w:rsidR="00B81CE1" w:rsidRPr="008E5EE6" w:rsidRDefault="00B81CE1">
      <w:pPr>
        <w:spacing w:line="257" w:lineRule="exact"/>
        <w:rPr>
          <w:rFonts w:asciiTheme="majorHAnsi" w:eastAsia="Cambria" w:hAnsiTheme="majorHAnsi" w:cs="Cambria"/>
        </w:rPr>
      </w:pPr>
    </w:p>
    <w:p w:rsidR="00B81CE1" w:rsidRPr="008E5EE6" w:rsidRDefault="00A16B84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840" w:hanging="366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>Udržitelný rozvoj dopravy – cíle a nástroje. Účinky z dopravy, opatření pro minimalizaci negativních účinků dopravy. Energie pro dopravu.</w:t>
      </w:r>
    </w:p>
    <w:p w:rsidR="00B81CE1" w:rsidRPr="008E5EE6" w:rsidRDefault="00B81CE1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B81CE1">
      <w:pPr>
        <w:spacing w:line="299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A16B84">
      <w:pPr>
        <w:rPr>
          <w:rFonts w:asciiTheme="majorHAnsi" w:hAnsiTheme="majorHAnsi"/>
          <w:sz w:val="20"/>
          <w:szCs w:val="20"/>
        </w:rPr>
      </w:pPr>
      <w:r w:rsidRPr="008E5EE6">
        <w:rPr>
          <w:rFonts w:asciiTheme="majorHAnsi" w:eastAsia="Cambria" w:hAnsiTheme="majorHAnsi" w:cs="Cambria"/>
          <w:b/>
          <w:bCs/>
        </w:rPr>
        <w:t>Územní plánování a doprava</w:t>
      </w:r>
    </w:p>
    <w:p w:rsidR="00B81CE1" w:rsidRPr="008E5EE6" w:rsidRDefault="00B81CE1">
      <w:pPr>
        <w:spacing w:line="239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A16B84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980" w:hanging="366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>Politika územního rozvoje – obsah a tvorba. Rozvojové osy. Úkoly dopravy v národním hospodářství.</w:t>
      </w:r>
    </w:p>
    <w:p w:rsidR="00B81CE1" w:rsidRPr="008E5EE6" w:rsidRDefault="00B81CE1">
      <w:pPr>
        <w:spacing w:line="259" w:lineRule="exact"/>
        <w:rPr>
          <w:rFonts w:asciiTheme="majorHAnsi" w:eastAsia="Cambria" w:hAnsiTheme="majorHAnsi" w:cs="Cambria"/>
        </w:rPr>
      </w:pPr>
    </w:p>
    <w:p w:rsidR="00B81CE1" w:rsidRPr="008E5EE6" w:rsidRDefault="00A16B84">
      <w:pPr>
        <w:numPr>
          <w:ilvl w:val="0"/>
          <w:numId w:val="2"/>
        </w:numPr>
        <w:tabs>
          <w:tab w:val="left" w:pos="720"/>
        </w:tabs>
        <w:ind w:left="720" w:hanging="366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>Druhy a obsah územně plánovací dokumentace. Legislativa. Zásady územního rozvoje.</w:t>
      </w:r>
    </w:p>
    <w:p w:rsidR="00B81CE1" w:rsidRPr="008E5EE6" w:rsidRDefault="00B81CE1">
      <w:pPr>
        <w:spacing w:line="258" w:lineRule="exact"/>
        <w:rPr>
          <w:rFonts w:asciiTheme="majorHAnsi" w:eastAsia="Cambria" w:hAnsiTheme="majorHAnsi" w:cs="Cambria"/>
        </w:rPr>
      </w:pPr>
    </w:p>
    <w:p w:rsidR="00B81CE1" w:rsidRPr="008E5EE6" w:rsidRDefault="00A16B84">
      <w:pPr>
        <w:numPr>
          <w:ilvl w:val="0"/>
          <w:numId w:val="2"/>
        </w:numPr>
        <w:tabs>
          <w:tab w:val="left" w:pos="720"/>
        </w:tabs>
        <w:ind w:left="720" w:hanging="366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>Schvalovací proces územně plánovací dokumentace.</w:t>
      </w:r>
    </w:p>
    <w:p w:rsidR="00B81CE1" w:rsidRPr="008E5EE6" w:rsidRDefault="00B81CE1">
      <w:pPr>
        <w:spacing w:line="258" w:lineRule="exact"/>
        <w:rPr>
          <w:rFonts w:asciiTheme="majorHAnsi" w:eastAsia="Cambria" w:hAnsiTheme="majorHAnsi" w:cs="Cambria"/>
        </w:rPr>
      </w:pPr>
    </w:p>
    <w:p w:rsidR="00B81CE1" w:rsidRPr="008E5EE6" w:rsidRDefault="00A16B84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480" w:hanging="366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>Pozice dopravy v územním plánování dle jednotlivých druhů dopravy. Doprava v klidu a její řešení.</w:t>
      </w:r>
    </w:p>
    <w:p w:rsidR="00B81CE1" w:rsidRPr="008E5EE6" w:rsidRDefault="00B81CE1">
      <w:pPr>
        <w:spacing w:line="258" w:lineRule="exact"/>
        <w:rPr>
          <w:rFonts w:asciiTheme="majorHAnsi" w:eastAsia="Cambria" w:hAnsiTheme="majorHAnsi" w:cs="Cambria"/>
        </w:rPr>
      </w:pPr>
    </w:p>
    <w:p w:rsidR="00B81CE1" w:rsidRPr="008E5EE6" w:rsidRDefault="00A16B84">
      <w:pPr>
        <w:numPr>
          <w:ilvl w:val="0"/>
          <w:numId w:val="2"/>
        </w:numPr>
        <w:tabs>
          <w:tab w:val="left" w:pos="720"/>
        </w:tabs>
        <w:ind w:left="720" w:hanging="366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>Dopravní obsluha území. City-logistika. Integrované dopravní systémy.</w:t>
      </w:r>
    </w:p>
    <w:p w:rsidR="00B81CE1" w:rsidRPr="008E5EE6" w:rsidRDefault="00B81CE1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B81CE1">
      <w:pPr>
        <w:spacing w:line="317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A16B84">
      <w:pPr>
        <w:rPr>
          <w:rFonts w:asciiTheme="majorHAnsi" w:hAnsiTheme="majorHAnsi"/>
          <w:sz w:val="20"/>
          <w:szCs w:val="20"/>
        </w:rPr>
      </w:pPr>
      <w:r w:rsidRPr="008E5EE6">
        <w:rPr>
          <w:rFonts w:asciiTheme="majorHAnsi" w:eastAsia="Cambria" w:hAnsiTheme="majorHAnsi" w:cs="Cambria"/>
          <w:b/>
          <w:bCs/>
          <w:sz w:val="24"/>
          <w:szCs w:val="24"/>
        </w:rPr>
        <w:t>Logistické a přepravní technologie</w:t>
      </w:r>
    </w:p>
    <w:p w:rsidR="00B81CE1" w:rsidRPr="008E5EE6" w:rsidRDefault="00B81CE1">
      <w:pPr>
        <w:spacing w:line="242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A16B84">
      <w:pPr>
        <w:numPr>
          <w:ilvl w:val="0"/>
          <w:numId w:val="3"/>
        </w:numPr>
        <w:tabs>
          <w:tab w:val="left" w:pos="720"/>
        </w:tabs>
        <w:spacing w:line="275" w:lineRule="auto"/>
        <w:ind w:left="720" w:hanging="366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>Východiska logistických a přepravních technologií. Základní pojmy. Tlačné a tažné systémy v logistice.</w:t>
      </w:r>
    </w:p>
    <w:p w:rsidR="00B81CE1" w:rsidRPr="008E5EE6" w:rsidRDefault="00B81CE1">
      <w:pPr>
        <w:spacing w:line="198" w:lineRule="exact"/>
        <w:rPr>
          <w:rFonts w:asciiTheme="majorHAnsi" w:eastAsia="Cambria" w:hAnsiTheme="majorHAnsi" w:cs="Cambria"/>
        </w:rPr>
      </w:pPr>
    </w:p>
    <w:p w:rsidR="00B81CE1" w:rsidRPr="008E5EE6" w:rsidRDefault="00A16B84">
      <w:pPr>
        <w:numPr>
          <w:ilvl w:val="0"/>
          <w:numId w:val="3"/>
        </w:numPr>
        <w:tabs>
          <w:tab w:val="left" w:pos="720"/>
        </w:tabs>
        <w:ind w:left="720" w:hanging="366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  <w:sz w:val="24"/>
          <w:szCs w:val="24"/>
        </w:rPr>
        <w:t>Dodavatelský řetězec jako aplikační prostředí logistických a přepravních technologií.</w:t>
      </w:r>
    </w:p>
    <w:p w:rsidR="00B81CE1" w:rsidRPr="008E5EE6" w:rsidRDefault="00B81CE1">
      <w:pPr>
        <w:spacing w:line="45" w:lineRule="exact"/>
        <w:rPr>
          <w:rFonts w:asciiTheme="majorHAnsi" w:eastAsia="Cambria" w:hAnsiTheme="majorHAnsi" w:cs="Cambria"/>
        </w:rPr>
      </w:pPr>
    </w:p>
    <w:p w:rsidR="00B81CE1" w:rsidRPr="008E5EE6" w:rsidRDefault="00A16B84">
      <w:pPr>
        <w:ind w:left="720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>Druhy koncepcí dodavatelských řetězců.</w:t>
      </w:r>
    </w:p>
    <w:p w:rsidR="00B81CE1" w:rsidRPr="008E5EE6" w:rsidRDefault="00B81CE1">
      <w:pPr>
        <w:spacing w:line="239" w:lineRule="exact"/>
        <w:rPr>
          <w:rFonts w:asciiTheme="majorHAnsi" w:eastAsia="Cambria" w:hAnsiTheme="majorHAnsi" w:cs="Cambria"/>
        </w:rPr>
      </w:pPr>
    </w:p>
    <w:p w:rsidR="00B81CE1" w:rsidRPr="008E5EE6" w:rsidRDefault="00A16B84">
      <w:pPr>
        <w:numPr>
          <w:ilvl w:val="0"/>
          <w:numId w:val="3"/>
        </w:numPr>
        <w:tabs>
          <w:tab w:val="left" w:pos="720"/>
        </w:tabs>
        <w:spacing w:line="276" w:lineRule="auto"/>
        <w:ind w:left="720" w:hanging="366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>Logistické technologie v dodavatelském řetězci. Vnitropodnikové logistické řetězce. Manipulační operace a manipulační prostředky, prostředky pro ložné operace.</w:t>
      </w:r>
    </w:p>
    <w:p w:rsidR="00B81CE1" w:rsidRPr="008E5EE6" w:rsidRDefault="00B81CE1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B81CE1">
      <w:pPr>
        <w:spacing w:line="56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A16B84">
      <w:pPr>
        <w:numPr>
          <w:ilvl w:val="0"/>
          <w:numId w:val="4"/>
        </w:numPr>
        <w:tabs>
          <w:tab w:val="left" w:pos="720"/>
        </w:tabs>
        <w:spacing w:line="274" w:lineRule="auto"/>
        <w:ind w:left="720" w:hanging="366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>Přepravní technologie v dodavatelském řetězci. Prostředky dopravní telematiky a dopravní prostředky. Kombinovaná doprava a přepravní jednotky.</w:t>
      </w:r>
    </w:p>
    <w:p w:rsidR="00B81CE1" w:rsidRPr="008E5EE6" w:rsidRDefault="00B81CE1">
      <w:pPr>
        <w:spacing w:line="202" w:lineRule="exact"/>
        <w:rPr>
          <w:rFonts w:asciiTheme="majorHAnsi" w:eastAsia="Cambria" w:hAnsiTheme="majorHAnsi" w:cs="Cambria"/>
        </w:rPr>
      </w:pPr>
    </w:p>
    <w:p w:rsidR="00B81CE1" w:rsidRPr="008E5EE6" w:rsidRDefault="00A16B84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>Plánování logistických a přepravních technologií a údržba a bezpečnost technických</w:t>
      </w:r>
    </w:p>
    <w:p w:rsidR="00B81CE1" w:rsidRPr="008E5EE6" w:rsidRDefault="00B81CE1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B81CE1">
      <w:pPr>
        <w:spacing w:line="254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A16B84">
      <w:pPr>
        <w:rPr>
          <w:rFonts w:asciiTheme="majorHAnsi" w:hAnsiTheme="majorHAnsi"/>
          <w:sz w:val="20"/>
          <w:szCs w:val="20"/>
        </w:rPr>
      </w:pPr>
      <w:r w:rsidRPr="008E5EE6">
        <w:rPr>
          <w:rFonts w:asciiTheme="majorHAnsi" w:eastAsia="Cambria" w:hAnsiTheme="majorHAnsi" w:cs="Cambria"/>
          <w:b/>
          <w:bCs/>
        </w:rPr>
        <w:t>Osobní doprava a přeprava</w:t>
      </w:r>
    </w:p>
    <w:p w:rsidR="00B81CE1" w:rsidRPr="008E5EE6" w:rsidRDefault="00B81CE1">
      <w:pPr>
        <w:spacing w:line="239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A16B84">
      <w:pPr>
        <w:numPr>
          <w:ilvl w:val="0"/>
          <w:numId w:val="5"/>
        </w:numPr>
        <w:tabs>
          <w:tab w:val="left" w:pos="720"/>
        </w:tabs>
        <w:spacing w:line="287" w:lineRule="auto"/>
        <w:ind w:left="720" w:hanging="366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>Historický vývoj osobní dopravy a přepravy. Aspekty osobní dopravy a přepravy. Odbavování cestujících a tarifní systém v osobní dopravě.</w:t>
      </w:r>
    </w:p>
    <w:p w:rsidR="00B81CE1" w:rsidRPr="008E5EE6" w:rsidRDefault="00B81CE1">
      <w:pPr>
        <w:spacing w:line="122" w:lineRule="exact"/>
        <w:rPr>
          <w:rFonts w:asciiTheme="majorHAnsi" w:eastAsia="Cambria" w:hAnsiTheme="majorHAnsi" w:cs="Cambria"/>
        </w:rPr>
      </w:pPr>
    </w:p>
    <w:p w:rsidR="00B81CE1" w:rsidRPr="008E5EE6" w:rsidRDefault="00A16B84">
      <w:pPr>
        <w:numPr>
          <w:ilvl w:val="0"/>
          <w:numId w:val="5"/>
        </w:numPr>
        <w:tabs>
          <w:tab w:val="left" w:pos="720"/>
        </w:tabs>
        <w:spacing w:line="288" w:lineRule="auto"/>
        <w:ind w:left="720" w:hanging="366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>Základní ukazatele a kvalita v osobní dopravě. Náklady a tržby v hromadné osobní dopravě. Veřejné zakázky služeb ve veřejném zájmu v osobní dopravě.</w:t>
      </w:r>
    </w:p>
    <w:p w:rsidR="00B81CE1" w:rsidRPr="008E5EE6" w:rsidRDefault="00B81CE1">
      <w:pPr>
        <w:spacing w:line="120" w:lineRule="exact"/>
        <w:rPr>
          <w:rFonts w:asciiTheme="majorHAnsi" w:eastAsia="Cambria" w:hAnsiTheme="majorHAnsi" w:cs="Cambria"/>
        </w:rPr>
      </w:pPr>
    </w:p>
    <w:p w:rsidR="00B81CE1" w:rsidRPr="008E5EE6" w:rsidRDefault="00A16B84">
      <w:pPr>
        <w:numPr>
          <w:ilvl w:val="0"/>
          <w:numId w:val="5"/>
        </w:numPr>
        <w:tabs>
          <w:tab w:val="left" w:pos="720"/>
        </w:tabs>
        <w:spacing w:line="288" w:lineRule="auto"/>
        <w:ind w:left="720" w:hanging="366"/>
        <w:jc w:val="both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>Charakteristické znaky hromadné osobní dopravy. Ukazatele časového a výkonového využití dopravních prostředků silniční hromadné osobní dopravy. Technologické procesy v hromadné osobní dopravě. Metody určování proudů cestujících. Nerovnoměrnosti v přepravě osob. Příměstská doprava.</w:t>
      </w:r>
    </w:p>
    <w:p w:rsidR="00B81CE1" w:rsidRPr="008E5EE6" w:rsidRDefault="00B81CE1">
      <w:pPr>
        <w:spacing w:line="120" w:lineRule="exact"/>
        <w:rPr>
          <w:rFonts w:asciiTheme="majorHAnsi" w:eastAsia="Cambria" w:hAnsiTheme="majorHAnsi" w:cs="Cambria"/>
        </w:rPr>
      </w:pPr>
    </w:p>
    <w:p w:rsidR="00B81CE1" w:rsidRPr="008E5EE6" w:rsidRDefault="00A16B84">
      <w:pPr>
        <w:numPr>
          <w:ilvl w:val="0"/>
          <w:numId w:val="5"/>
        </w:numPr>
        <w:tabs>
          <w:tab w:val="left" w:pos="720"/>
        </w:tabs>
        <w:spacing w:line="287" w:lineRule="auto"/>
        <w:ind w:left="720" w:hanging="366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>Integrovaný dopravní systém (IDS), regionální doprava a taktový jízdní řád. Vysokorychlostní a nekonvenční doprava.</w:t>
      </w:r>
    </w:p>
    <w:p w:rsidR="00B81CE1" w:rsidRPr="008E5EE6" w:rsidRDefault="00B81CE1">
      <w:pPr>
        <w:spacing w:line="122" w:lineRule="exact"/>
        <w:rPr>
          <w:rFonts w:asciiTheme="majorHAnsi" w:eastAsia="Cambria" w:hAnsiTheme="majorHAnsi" w:cs="Cambria"/>
        </w:rPr>
      </w:pPr>
    </w:p>
    <w:p w:rsidR="00B81CE1" w:rsidRPr="008E5EE6" w:rsidRDefault="00A16B84">
      <w:pPr>
        <w:numPr>
          <w:ilvl w:val="0"/>
          <w:numId w:val="5"/>
        </w:numPr>
        <w:tabs>
          <w:tab w:val="left" w:pos="707"/>
        </w:tabs>
        <w:spacing w:line="287" w:lineRule="auto"/>
        <w:ind w:left="700" w:hanging="348"/>
        <w:rPr>
          <w:rFonts w:asciiTheme="majorHAnsi" w:eastAsia="Cambria" w:hAnsiTheme="majorHAnsi" w:cs="Cambria"/>
        </w:rPr>
      </w:pPr>
      <w:r w:rsidRPr="008E5EE6">
        <w:rPr>
          <w:rFonts w:asciiTheme="majorHAnsi" w:eastAsia="Cambria" w:hAnsiTheme="majorHAnsi" w:cs="Cambria"/>
        </w:rPr>
        <w:t>Přestupní uzly pozemní osobní dopravy. Stavby a zařízení v osobní dopravě. Ostatní dopravní systémy v osobní dopravě.</w:t>
      </w:r>
    </w:p>
    <w:p w:rsidR="00B81CE1" w:rsidRPr="008E5EE6" w:rsidRDefault="00B81CE1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8E5EE6" w:rsidRDefault="008E5EE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B81CE1" w:rsidRPr="008E5EE6" w:rsidRDefault="00B81CE1">
      <w:pPr>
        <w:spacing w:line="247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A16B84">
      <w:pPr>
        <w:rPr>
          <w:rFonts w:asciiTheme="majorHAnsi" w:hAnsiTheme="majorHAnsi"/>
          <w:sz w:val="20"/>
          <w:szCs w:val="20"/>
        </w:rPr>
      </w:pPr>
      <w:r w:rsidRPr="008E5EE6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t>Doporučená literatura</w:t>
      </w:r>
    </w:p>
    <w:p w:rsidR="00B81CE1" w:rsidRPr="008E5EE6" w:rsidRDefault="00B81CE1">
      <w:pPr>
        <w:spacing w:line="255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A16B84" w:rsidP="008E5EE6">
      <w:pPr>
        <w:jc w:val="both"/>
        <w:rPr>
          <w:rFonts w:asciiTheme="majorHAnsi" w:hAnsiTheme="majorHAnsi"/>
          <w:sz w:val="20"/>
          <w:szCs w:val="20"/>
        </w:rPr>
      </w:pPr>
      <w:r w:rsidRPr="008E5EE6">
        <w:rPr>
          <w:rFonts w:asciiTheme="majorHAnsi" w:eastAsia="Cambria" w:hAnsiTheme="majorHAnsi" w:cs="Cambria"/>
        </w:rPr>
        <w:t>ŽEMLIČKA, Z., LUKŠŮ, V. Dopravní politika. Jindřichův Hradec : VŠE, 1999. ISBN 80 – 7079 – 659 – 6</w:t>
      </w:r>
      <w:r w:rsidR="00105B35">
        <w:rPr>
          <w:rFonts w:asciiTheme="majorHAnsi" w:eastAsia="Cambria" w:hAnsiTheme="majorHAnsi" w:cs="Cambria"/>
        </w:rPr>
        <w:t>.</w:t>
      </w:r>
    </w:p>
    <w:p w:rsidR="00B81CE1" w:rsidRPr="008E5EE6" w:rsidRDefault="00B81CE1" w:rsidP="008E5EE6">
      <w:pPr>
        <w:spacing w:line="258" w:lineRule="exact"/>
        <w:jc w:val="both"/>
        <w:rPr>
          <w:rFonts w:asciiTheme="majorHAnsi" w:hAnsiTheme="majorHAnsi"/>
          <w:sz w:val="20"/>
          <w:szCs w:val="20"/>
        </w:rPr>
      </w:pPr>
    </w:p>
    <w:p w:rsidR="00B81CE1" w:rsidRPr="008E5EE6" w:rsidRDefault="00A16B84" w:rsidP="008E5EE6">
      <w:pPr>
        <w:spacing w:line="239" w:lineRule="auto"/>
        <w:jc w:val="both"/>
        <w:rPr>
          <w:rFonts w:asciiTheme="majorHAnsi" w:hAnsiTheme="majorHAnsi"/>
          <w:sz w:val="20"/>
          <w:szCs w:val="20"/>
        </w:rPr>
      </w:pPr>
      <w:r w:rsidRPr="008E5EE6">
        <w:rPr>
          <w:rFonts w:asciiTheme="majorHAnsi" w:eastAsia="Cambria" w:hAnsiTheme="majorHAnsi" w:cs="Cambria"/>
        </w:rPr>
        <w:t xml:space="preserve">ŽEMLIČKA, Zdeněk a Jaroslav MYNÁŘÍK. Doprava a přeprava. Vyd. 1. Praha: Pro Dopravní vzdělávací institut vydal </w:t>
      </w:r>
      <w:proofErr w:type="spellStart"/>
      <w:r w:rsidRPr="008E5EE6">
        <w:rPr>
          <w:rFonts w:asciiTheme="majorHAnsi" w:eastAsia="Cambria" w:hAnsiTheme="majorHAnsi" w:cs="Cambria"/>
        </w:rPr>
        <w:t>Nadatur</w:t>
      </w:r>
      <w:proofErr w:type="spellEnd"/>
      <w:r w:rsidRPr="008E5EE6">
        <w:rPr>
          <w:rFonts w:asciiTheme="majorHAnsi" w:eastAsia="Cambria" w:hAnsiTheme="majorHAnsi" w:cs="Cambria"/>
        </w:rPr>
        <w:t>, 2008</w:t>
      </w:r>
    </w:p>
    <w:p w:rsidR="00B81CE1" w:rsidRPr="008E5EE6" w:rsidRDefault="00B81CE1" w:rsidP="008E5EE6">
      <w:pPr>
        <w:spacing w:line="259" w:lineRule="exact"/>
        <w:jc w:val="both"/>
        <w:rPr>
          <w:rFonts w:asciiTheme="majorHAnsi" w:hAnsiTheme="majorHAnsi"/>
          <w:sz w:val="20"/>
          <w:szCs w:val="20"/>
        </w:rPr>
      </w:pPr>
    </w:p>
    <w:p w:rsidR="00B81CE1" w:rsidRPr="008E5EE6" w:rsidRDefault="00A16B84" w:rsidP="008E5EE6">
      <w:pPr>
        <w:jc w:val="both"/>
        <w:rPr>
          <w:rFonts w:asciiTheme="majorHAnsi" w:hAnsiTheme="majorHAnsi"/>
          <w:sz w:val="20"/>
          <w:szCs w:val="20"/>
        </w:rPr>
      </w:pPr>
      <w:r w:rsidRPr="008E5EE6">
        <w:rPr>
          <w:rFonts w:asciiTheme="majorHAnsi" w:eastAsia="Cambria" w:hAnsiTheme="majorHAnsi" w:cs="Cambria"/>
        </w:rPr>
        <w:t xml:space="preserve">RŮŽIČKA, Miroslav a Patrik BŘEČKA. Doprava v územním plánování. 1. vyd. Praha: KPM </w:t>
      </w:r>
      <w:proofErr w:type="spellStart"/>
      <w:r w:rsidRPr="008E5EE6">
        <w:rPr>
          <w:rFonts w:asciiTheme="majorHAnsi" w:eastAsia="Cambria" w:hAnsiTheme="majorHAnsi" w:cs="Cambria"/>
        </w:rPr>
        <w:t>Consult</w:t>
      </w:r>
      <w:proofErr w:type="spellEnd"/>
      <w:r w:rsidRPr="008E5EE6">
        <w:rPr>
          <w:rFonts w:asciiTheme="majorHAnsi" w:eastAsia="Cambria" w:hAnsiTheme="majorHAnsi" w:cs="Cambria"/>
        </w:rPr>
        <w:t>, 2008.</w:t>
      </w:r>
    </w:p>
    <w:p w:rsidR="00B81CE1" w:rsidRPr="008E5EE6" w:rsidRDefault="00B81CE1" w:rsidP="008E5EE6">
      <w:pPr>
        <w:spacing w:line="1" w:lineRule="exact"/>
        <w:jc w:val="both"/>
        <w:rPr>
          <w:rFonts w:asciiTheme="majorHAnsi" w:hAnsiTheme="majorHAnsi"/>
          <w:sz w:val="20"/>
          <w:szCs w:val="20"/>
        </w:rPr>
      </w:pPr>
    </w:p>
    <w:p w:rsidR="00B81CE1" w:rsidRPr="008E5EE6" w:rsidRDefault="00A16B84" w:rsidP="008E5EE6">
      <w:pPr>
        <w:jc w:val="both"/>
        <w:rPr>
          <w:rFonts w:asciiTheme="majorHAnsi" w:hAnsiTheme="majorHAnsi"/>
          <w:sz w:val="20"/>
          <w:szCs w:val="20"/>
        </w:rPr>
      </w:pPr>
      <w:r w:rsidRPr="008E5EE6">
        <w:rPr>
          <w:rFonts w:asciiTheme="majorHAnsi" w:eastAsia="Cambria" w:hAnsiTheme="majorHAnsi" w:cs="Cambria"/>
        </w:rPr>
        <w:t>112 s. ISBN 978-80-904167-3-4.</w:t>
      </w:r>
    </w:p>
    <w:p w:rsidR="00B81CE1" w:rsidRPr="008E5EE6" w:rsidRDefault="00B81CE1" w:rsidP="008E5EE6">
      <w:pPr>
        <w:spacing w:line="258" w:lineRule="exact"/>
        <w:jc w:val="both"/>
        <w:rPr>
          <w:rFonts w:asciiTheme="majorHAnsi" w:hAnsiTheme="majorHAnsi"/>
          <w:sz w:val="20"/>
          <w:szCs w:val="20"/>
        </w:rPr>
      </w:pPr>
    </w:p>
    <w:p w:rsidR="00B81CE1" w:rsidRPr="008E5EE6" w:rsidRDefault="00A16B84" w:rsidP="008E5EE6">
      <w:pPr>
        <w:spacing w:line="239" w:lineRule="auto"/>
        <w:jc w:val="both"/>
        <w:rPr>
          <w:rFonts w:asciiTheme="majorHAnsi" w:hAnsiTheme="majorHAnsi"/>
          <w:sz w:val="20"/>
          <w:szCs w:val="20"/>
        </w:rPr>
      </w:pPr>
      <w:r w:rsidRPr="008E5EE6">
        <w:rPr>
          <w:rFonts w:asciiTheme="majorHAnsi" w:eastAsia="Cambria" w:hAnsiTheme="majorHAnsi" w:cs="Cambria"/>
        </w:rPr>
        <w:t xml:space="preserve">LUKOSZOVÁ, Xenie. Logistické technologie v dodavatelském řetězci. 1. vyd. Praha: </w:t>
      </w:r>
      <w:proofErr w:type="spellStart"/>
      <w:r w:rsidRPr="008E5EE6">
        <w:rPr>
          <w:rFonts w:asciiTheme="majorHAnsi" w:eastAsia="Cambria" w:hAnsiTheme="majorHAnsi" w:cs="Cambria"/>
        </w:rPr>
        <w:t>Ekopress</w:t>
      </w:r>
      <w:proofErr w:type="spellEnd"/>
      <w:r w:rsidRPr="008E5EE6">
        <w:rPr>
          <w:rFonts w:asciiTheme="majorHAnsi" w:eastAsia="Cambria" w:hAnsiTheme="majorHAnsi" w:cs="Cambria"/>
        </w:rPr>
        <w:t>, 2012. 121 s. ISBN 978-80-86929-89-7.</w:t>
      </w:r>
    </w:p>
    <w:p w:rsidR="00B81CE1" w:rsidRPr="008E5EE6" w:rsidRDefault="00B81CE1" w:rsidP="008E5EE6">
      <w:pPr>
        <w:spacing w:line="259" w:lineRule="exact"/>
        <w:jc w:val="both"/>
        <w:rPr>
          <w:rFonts w:asciiTheme="majorHAnsi" w:hAnsiTheme="majorHAnsi"/>
          <w:sz w:val="20"/>
          <w:szCs w:val="20"/>
        </w:rPr>
      </w:pPr>
    </w:p>
    <w:p w:rsidR="00B81CE1" w:rsidRPr="008E5EE6" w:rsidRDefault="00A16B84" w:rsidP="008E5EE6">
      <w:pPr>
        <w:spacing w:line="277" w:lineRule="auto"/>
        <w:jc w:val="both"/>
        <w:rPr>
          <w:rFonts w:asciiTheme="majorHAnsi" w:hAnsiTheme="majorHAnsi"/>
          <w:sz w:val="20"/>
          <w:szCs w:val="20"/>
        </w:rPr>
      </w:pPr>
      <w:r w:rsidRPr="008E5EE6">
        <w:rPr>
          <w:rFonts w:asciiTheme="majorHAnsi" w:eastAsia="Cambria" w:hAnsiTheme="majorHAnsi" w:cs="Cambria"/>
        </w:rPr>
        <w:t>MOJŽÍŠ, Vlastislav. Logistické technologie. Vyd. 1. Pardubice: Univerzita, 2003. 109 s. ISBN 80-7194-469-6.</w:t>
      </w:r>
    </w:p>
    <w:p w:rsidR="00B81CE1" w:rsidRPr="008E5EE6" w:rsidRDefault="00B81CE1" w:rsidP="008E5EE6">
      <w:pPr>
        <w:spacing w:line="200" w:lineRule="exact"/>
        <w:jc w:val="both"/>
        <w:rPr>
          <w:rFonts w:asciiTheme="majorHAnsi" w:hAnsiTheme="majorHAnsi"/>
          <w:sz w:val="20"/>
          <w:szCs w:val="20"/>
        </w:rPr>
      </w:pPr>
    </w:p>
    <w:p w:rsidR="00B81CE1" w:rsidRPr="008E5EE6" w:rsidRDefault="00A16B84" w:rsidP="008E5EE6">
      <w:pPr>
        <w:spacing w:line="274" w:lineRule="auto"/>
        <w:jc w:val="both"/>
        <w:rPr>
          <w:rFonts w:asciiTheme="majorHAnsi" w:hAnsiTheme="majorHAnsi"/>
          <w:sz w:val="20"/>
          <w:szCs w:val="20"/>
        </w:rPr>
      </w:pPr>
      <w:r w:rsidRPr="008E5EE6">
        <w:rPr>
          <w:rFonts w:asciiTheme="majorHAnsi" w:eastAsia="Cambria" w:hAnsiTheme="majorHAnsi" w:cs="Cambria"/>
        </w:rPr>
        <w:t xml:space="preserve">VONKA, Jaroslav. Osobní doprava. Tiskařské středisko </w:t>
      </w:r>
      <w:proofErr w:type="spellStart"/>
      <w:r w:rsidRPr="008E5EE6">
        <w:rPr>
          <w:rFonts w:asciiTheme="majorHAnsi" w:eastAsia="Cambria" w:hAnsiTheme="majorHAnsi" w:cs="Cambria"/>
        </w:rPr>
        <w:t>Univerzi</w:t>
      </w:r>
      <w:proofErr w:type="spellEnd"/>
      <w:r w:rsidRPr="008E5EE6">
        <w:rPr>
          <w:rFonts w:asciiTheme="majorHAnsi" w:eastAsia="Cambria" w:hAnsiTheme="majorHAnsi" w:cs="Cambria"/>
        </w:rPr>
        <w:t>. Pardubice, 2001. 170 s. ISBN 80-7194-320-7.</w:t>
      </w:r>
    </w:p>
    <w:p w:rsidR="00B81CE1" w:rsidRPr="008E5EE6" w:rsidRDefault="00B81CE1" w:rsidP="008E5EE6">
      <w:pPr>
        <w:spacing w:line="203" w:lineRule="exact"/>
        <w:jc w:val="both"/>
        <w:rPr>
          <w:rFonts w:asciiTheme="majorHAnsi" w:hAnsiTheme="majorHAnsi"/>
          <w:sz w:val="20"/>
          <w:szCs w:val="20"/>
        </w:rPr>
      </w:pPr>
    </w:p>
    <w:p w:rsidR="00B81CE1" w:rsidRPr="008E5EE6" w:rsidRDefault="00A16B84" w:rsidP="008E5EE6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8E5EE6">
        <w:rPr>
          <w:rFonts w:asciiTheme="majorHAnsi" w:eastAsia="Cambria" w:hAnsiTheme="majorHAnsi" w:cs="Cambria"/>
        </w:rPr>
        <w:t>ŠTĚRBA, Roman a Otto PASTOR. Osobní doprava v území a regionech. Vyd. 1. Praha: Vydavatelství ČVUT, 2005. 107 s. ISBN 80-01-03185-3.</w:t>
      </w:r>
    </w:p>
    <w:p w:rsidR="00B81CE1" w:rsidRPr="008E5EE6" w:rsidRDefault="00B81CE1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B81CE1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B81CE1" w:rsidRPr="008E5EE6" w:rsidRDefault="00B81CE1" w:rsidP="00182193">
      <w:pPr>
        <w:ind w:right="20"/>
        <w:rPr>
          <w:rFonts w:asciiTheme="majorHAnsi" w:hAnsiTheme="majorHAnsi"/>
          <w:sz w:val="20"/>
          <w:szCs w:val="20"/>
        </w:rPr>
      </w:pPr>
    </w:p>
    <w:sectPr w:rsidR="00B81CE1" w:rsidRPr="008E5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907" w:right="1126" w:bottom="0" w:left="1000" w:header="0" w:footer="0" w:gutter="0"/>
      <w:cols w:space="708" w:equalWidth="0">
        <w:col w:w="97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9F" w:rsidRDefault="00D45E9F" w:rsidP="00182193">
      <w:r>
        <w:separator/>
      </w:r>
    </w:p>
  </w:endnote>
  <w:endnote w:type="continuationSeparator" w:id="0">
    <w:p w:rsidR="00D45E9F" w:rsidRDefault="00D45E9F" w:rsidP="0018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59" w:rsidRDefault="006E23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93" w:rsidRDefault="00182193" w:rsidP="00182193">
    <w:pPr>
      <w:ind w:right="20"/>
      <w:jc w:val="center"/>
      <w:rPr>
        <w:sz w:val="20"/>
        <w:szCs w:val="20"/>
      </w:rPr>
    </w:pPr>
    <w:r>
      <w:rPr>
        <w:rFonts w:ascii="Cambria" w:eastAsia="Cambria" w:hAnsi="Cambria" w:cs="Cambria"/>
        <w:color w:val="808080"/>
        <w:sz w:val="20"/>
        <w:szCs w:val="20"/>
      </w:rPr>
      <w:t>Okružní 10, 370 01 České Budějovice | www.vstecb.cz | is.vstecb.cz | nahlikova@mail.vstecb.cz</w:t>
    </w:r>
  </w:p>
  <w:p w:rsidR="00182193" w:rsidRDefault="00182193">
    <w:pPr>
      <w:pStyle w:val="Zpat"/>
    </w:pPr>
  </w:p>
  <w:p w:rsidR="00182193" w:rsidRDefault="0018219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59" w:rsidRDefault="006E23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9F" w:rsidRDefault="00D45E9F" w:rsidP="00182193">
      <w:r>
        <w:separator/>
      </w:r>
    </w:p>
  </w:footnote>
  <w:footnote w:type="continuationSeparator" w:id="0">
    <w:p w:rsidR="00D45E9F" w:rsidRDefault="00D45E9F" w:rsidP="0018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59" w:rsidRDefault="006E23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E6" w:rsidRDefault="008E5EE6" w:rsidP="008E5EE6">
    <w:pPr>
      <w:spacing w:line="232" w:lineRule="auto"/>
      <w:ind w:left="4600" w:right="13" w:hanging="489"/>
      <w:jc w:val="right"/>
      <w:rPr>
        <w:rFonts w:ascii="Calibri" w:eastAsia="Calibri" w:hAnsi="Calibri" w:cs="Calibri"/>
        <w:b/>
        <w:bCs/>
        <w:color w:val="993333"/>
        <w:sz w:val="28"/>
        <w:szCs w:val="28"/>
      </w:rPr>
    </w:pPr>
  </w:p>
  <w:p w:rsidR="008E5EE6" w:rsidRDefault="008E5EE6" w:rsidP="008E5EE6">
    <w:pPr>
      <w:spacing w:line="232" w:lineRule="auto"/>
      <w:ind w:left="4600" w:right="13" w:hanging="489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3378D063" wp14:editId="3CDF35EA">
          <wp:simplePos x="0" y="0"/>
          <wp:positionH relativeFrom="page">
            <wp:posOffset>801370</wp:posOffset>
          </wp:positionH>
          <wp:positionV relativeFrom="page">
            <wp:posOffset>227965</wp:posOffset>
          </wp:positionV>
          <wp:extent cx="1038860" cy="1057275"/>
          <wp:effectExtent l="0" t="0" r="889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bCs/>
        <w:color w:val="993333"/>
        <w:sz w:val="28"/>
        <w:szCs w:val="28"/>
      </w:rPr>
      <w:t>VYSOKÁ ŠKOLA TECHNICKÁ A EKONOMICKÁ V ČESKÝCH BUDĚJOVICÍCH</w:t>
    </w:r>
  </w:p>
  <w:p w:rsidR="008E5EE6" w:rsidRDefault="008E5EE6" w:rsidP="008E5EE6">
    <w:pPr>
      <w:spacing w:line="55" w:lineRule="exact"/>
      <w:ind w:right="13"/>
      <w:rPr>
        <w:sz w:val="24"/>
        <w:szCs w:val="24"/>
      </w:rPr>
    </w:pPr>
  </w:p>
  <w:p w:rsidR="008E5EE6" w:rsidRDefault="008E5EE6" w:rsidP="008E5EE6">
    <w:pPr>
      <w:ind w:left="5100" w:right="13"/>
      <w:rPr>
        <w:rFonts w:ascii="Calibri" w:eastAsia="Calibri" w:hAnsi="Calibri" w:cs="Calibri"/>
        <w:color w:val="993333"/>
        <w:sz w:val="24"/>
        <w:szCs w:val="24"/>
      </w:rPr>
    </w:pPr>
  </w:p>
  <w:p w:rsidR="008E5EE6" w:rsidRDefault="008E5EE6" w:rsidP="008E5EE6">
    <w:pPr>
      <w:ind w:left="5100" w:right="13" w:hanging="705"/>
      <w:jc w:val="right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>Tematické okruhy pro Státní závěrečné zkoušky</w:t>
    </w:r>
  </w:p>
  <w:p w:rsidR="008E5EE6" w:rsidRDefault="008E5EE6" w:rsidP="008E5EE6">
    <w:pPr>
      <w:spacing w:line="45" w:lineRule="exact"/>
      <w:ind w:right="13"/>
      <w:jc w:val="right"/>
      <w:rPr>
        <w:sz w:val="24"/>
        <w:szCs w:val="24"/>
      </w:rPr>
    </w:pPr>
  </w:p>
  <w:p w:rsidR="008E5EE6" w:rsidRDefault="008E5EE6" w:rsidP="008E5EE6">
    <w:pPr>
      <w:ind w:left="6000" w:right="13" w:hanging="613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>obor: Technologie dopravy a přepravy</w:t>
    </w:r>
  </w:p>
  <w:p w:rsidR="008E5EE6" w:rsidRDefault="008E5EE6" w:rsidP="006E2359">
    <w:pPr>
      <w:ind w:left="6237" w:right="13" w:hanging="1701"/>
      <w:jc w:val="right"/>
      <w:rPr>
        <w:rFonts w:ascii="Calibri" w:eastAsia="Calibri" w:hAnsi="Calibri" w:cs="Calibri"/>
        <w:color w:val="993333"/>
        <w:sz w:val="24"/>
        <w:szCs w:val="24"/>
      </w:rPr>
    </w:pPr>
    <w:bookmarkStart w:id="0" w:name="_GoBack"/>
    <w:bookmarkEnd w:id="0"/>
    <w:r>
      <w:rPr>
        <w:rFonts w:ascii="Calibri" w:eastAsia="Calibri" w:hAnsi="Calibri" w:cs="Calibri"/>
        <w:color w:val="993333"/>
        <w:sz w:val="24"/>
        <w:szCs w:val="24"/>
      </w:rPr>
      <w:t>Pro starší plány DP_DT_P/K_č.1</w:t>
    </w:r>
    <w:r w:rsidRPr="008E5EE6">
      <w:rPr>
        <w:rFonts w:ascii="Calibri" w:eastAsia="Calibri" w:hAnsi="Calibri" w:cs="Calibri"/>
        <w:color w:val="993333"/>
        <w:sz w:val="24"/>
        <w:szCs w:val="24"/>
      </w:rPr>
      <w:t xml:space="preserve"> </w:t>
    </w:r>
    <w:r>
      <w:rPr>
        <w:rFonts w:ascii="Calibri" w:eastAsia="Calibri" w:hAnsi="Calibri" w:cs="Calibri"/>
        <w:color w:val="993333"/>
        <w:sz w:val="24"/>
        <w:szCs w:val="24"/>
      </w:rPr>
      <w:t>a</w:t>
    </w:r>
    <w:r w:rsidRPr="008E5EE6">
      <w:rPr>
        <w:rFonts w:ascii="Calibri" w:eastAsia="Calibri" w:hAnsi="Calibri" w:cs="Calibri"/>
        <w:color w:val="993333"/>
        <w:sz w:val="24"/>
        <w:szCs w:val="24"/>
      </w:rPr>
      <w:t xml:space="preserve"> </w:t>
    </w:r>
    <w:r>
      <w:rPr>
        <w:rFonts w:ascii="Calibri" w:eastAsia="Calibri" w:hAnsi="Calibri" w:cs="Calibri"/>
        <w:color w:val="993333"/>
        <w:sz w:val="24"/>
        <w:szCs w:val="24"/>
      </w:rPr>
      <w:t>DP_DT_P/K_č.2</w:t>
    </w:r>
  </w:p>
  <w:p w:rsidR="008E5EE6" w:rsidRDefault="008E5EE6" w:rsidP="008E5EE6">
    <w:pPr>
      <w:ind w:left="6000" w:right="213" w:hanging="613"/>
      <w:jc w:val="right"/>
      <w:rPr>
        <w:sz w:val="20"/>
        <w:szCs w:val="20"/>
      </w:rPr>
    </w:pPr>
  </w:p>
  <w:p w:rsidR="008E5EE6" w:rsidRDefault="008E5EE6" w:rsidP="008E5EE6">
    <w:pPr>
      <w:spacing w:line="43" w:lineRule="exact"/>
      <w:ind w:right="13"/>
      <w:jc w:val="right"/>
      <w:rPr>
        <w:sz w:val="24"/>
        <w:szCs w:val="24"/>
      </w:rPr>
    </w:pPr>
  </w:p>
  <w:p w:rsidR="008E5EE6" w:rsidRDefault="008E5EE6" w:rsidP="008E5EE6">
    <w:pPr>
      <w:ind w:left="6237" w:right="13" w:hanging="283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 xml:space="preserve">SZZ: </w:t>
    </w:r>
    <w:r w:rsidRPr="008E5EE6">
      <w:rPr>
        <w:rFonts w:ascii="Calibri" w:eastAsia="Calibri" w:hAnsi="Calibri" w:cs="Calibri"/>
        <w:color w:val="993333"/>
        <w:sz w:val="24"/>
        <w:szCs w:val="24"/>
      </w:rPr>
      <w:t>Blok D1 – Doprava a přeprava</w:t>
    </w:r>
  </w:p>
  <w:p w:rsidR="008E5EE6" w:rsidRDefault="008E5E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59" w:rsidRDefault="006E23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53AE9EC8"/>
    <w:lvl w:ilvl="0" w:tplc="CC707240">
      <w:start w:val="1"/>
      <w:numFmt w:val="decimal"/>
      <w:lvlText w:val="%1."/>
      <w:lvlJc w:val="left"/>
    </w:lvl>
    <w:lvl w:ilvl="1" w:tplc="8BDE422C">
      <w:numFmt w:val="decimal"/>
      <w:lvlText w:val=""/>
      <w:lvlJc w:val="left"/>
    </w:lvl>
    <w:lvl w:ilvl="2" w:tplc="F19C7FFE">
      <w:numFmt w:val="decimal"/>
      <w:lvlText w:val=""/>
      <w:lvlJc w:val="left"/>
    </w:lvl>
    <w:lvl w:ilvl="3" w:tplc="B5F2AD76">
      <w:numFmt w:val="decimal"/>
      <w:lvlText w:val=""/>
      <w:lvlJc w:val="left"/>
    </w:lvl>
    <w:lvl w:ilvl="4" w:tplc="2254568C">
      <w:numFmt w:val="decimal"/>
      <w:lvlText w:val=""/>
      <w:lvlJc w:val="left"/>
    </w:lvl>
    <w:lvl w:ilvl="5" w:tplc="B3E85DDE">
      <w:numFmt w:val="decimal"/>
      <w:lvlText w:val=""/>
      <w:lvlJc w:val="left"/>
    </w:lvl>
    <w:lvl w:ilvl="6" w:tplc="86C6C1B4">
      <w:numFmt w:val="decimal"/>
      <w:lvlText w:val=""/>
      <w:lvlJc w:val="left"/>
    </w:lvl>
    <w:lvl w:ilvl="7" w:tplc="A7225EC2">
      <w:numFmt w:val="decimal"/>
      <w:lvlText w:val=""/>
      <w:lvlJc w:val="left"/>
    </w:lvl>
    <w:lvl w:ilvl="8" w:tplc="C1E86E3A">
      <w:numFmt w:val="decimal"/>
      <w:lvlText w:val=""/>
      <w:lvlJc w:val="left"/>
    </w:lvl>
  </w:abstractNum>
  <w:abstractNum w:abstractNumId="1">
    <w:nsid w:val="238E1F29"/>
    <w:multiLevelType w:val="hybridMultilevel"/>
    <w:tmpl w:val="BEBA5A00"/>
    <w:lvl w:ilvl="0" w:tplc="43C4340C">
      <w:start w:val="14"/>
      <w:numFmt w:val="decimal"/>
      <w:lvlText w:val="%1."/>
      <w:lvlJc w:val="left"/>
    </w:lvl>
    <w:lvl w:ilvl="1" w:tplc="04D6CE36">
      <w:numFmt w:val="decimal"/>
      <w:lvlText w:val=""/>
      <w:lvlJc w:val="left"/>
    </w:lvl>
    <w:lvl w:ilvl="2" w:tplc="AC40C434">
      <w:numFmt w:val="decimal"/>
      <w:lvlText w:val=""/>
      <w:lvlJc w:val="left"/>
    </w:lvl>
    <w:lvl w:ilvl="3" w:tplc="A3D6D2B0">
      <w:numFmt w:val="decimal"/>
      <w:lvlText w:val=""/>
      <w:lvlJc w:val="left"/>
    </w:lvl>
    <w:lvl w:ilvl="4" w:tplc="3A9284C6">
      <w:numFmt w:val="decimal"/>
      <w:lvlText w:val=""/>
      <w:lvlJc w:val="left"/>
    </w:lvl>
    <w:lvl w:ilvl="5" w:tplc="3D0A1FAE">
      <w:numFmt w:val="decimal"/>
      <w:lvlText w:val=""/>
      <w:lvlJc w:val="left"/>
    </w:lvl>
    <w:lvl w:ilvl="6" w:tplc="A1AE3440">
      <w:numFmt w:val="decimal"/>
      <w:lvlText w:val=""/>
      <w:lvlJc w:val="left"/>
    </w:lvl>
    <w:lvl w:ilvl="7" w:tplc="E48EC520">
      <w:numFmt w:val="decimal"/>
      <w:lvlText w:val=""/>
      <w:lvlJc w:val="left"/>
    </w:lvl>
    <w:lvl w:ilvl="8" w:tplc="16807CD6">
      <w:numFmt w:val="decimal"/>
      <w:lvlText w:val=""/>
      <w:lvlJc w:val="left"/>
    </w:lvl>
  </w:abstractNum>
  <w:abstractNum w:abstractNumId="2">
    <w:nsid w:val="2AE8944A"/>
    <w:multiLevelType w:val="hybridMultilevel"/>
    <w:tmpl w:val="125A59C4"/>
    <w:lvl w:ilvl="0" w:tplc="0600A728">
      <w:start w:val="6"/>
      <w:numFmt w:val="decimal"/>
      <w:lvlText w:val="%1."/>
      <w:lvlJc w:val="left"/>
    </w:lvl>
    <w:lvl w:ilvl="1" w:tplc="4EF2F798">
      <w:numFmt w:val="decimal"/>
      <w:lvlText w:val=""/>
      <w:lvlJc w:val="left"/>
    </w:lvl>
    <w:lvl w:ilvl="2" w:tplc="319CAFE0">
      <w:numFmt w:val="decimal"/>
      <w:lvlText w:val=""/>
      <w:lvlJc w:val="left"/>
    </w:lvl>
    <w:lvl w:ilvl="3" w:tplc="C9A45076">
      <w:numFmt w:val="decimal"/>
      <w:lvlText w:val=""/>
      <w:lvlJc w:val="left"/>
    </w:lvl>
    <w:lvl w:ilvl="4" w:tplc="25603362">
      <w:numFmt w:val="decimal"/>
      <w:lvlText w:val=""/>
      <w:lvlJc w:val="left"/>
    </w:lvl>
    <w:lvl w:ilvl="5" w:tplc="82E64E54">
      <w:numFmt w:val="decimal"/>
      <w:lvlText w:val=""/>
      <w:lvlJc w:val="left"/>
    </w:lvl>
    <w:lvl w:ilvl="6" w:tplc="3F6C7CD6">
      <w:numFmt w:val="decimal"/>
      <w:lvlText w:val=""/>
      <w:lvlJc w:val="left"/>
    </w:lvl>
    <w:lvl w:ilvl="7" w:tplc="A5509E42">
      <w:numFmt w:val="decimal"/>
      <w:lvlText w:val=""/>
      <w:lvlJc w:val="left"/>
    </w:lvl>
    <w:lvl w:ilvl="8" w:tplc="E4BA6F74">
      <w:numFmt w:val="decimal"/>
      <w:lvlText w:val=""/>
      <w:lvlJc w:val="left"/>
    </w:lvl>
  </w:abstractNum>
  <w:abstractNum w:abstractNumId="3">
    <w:nsid w:val="46E87CCD"/>
    <w:multiLevelType w:val="hybridMultilevel"/>
    <w:tmpl w:val="ACCED1B4"/>
    <w:lvl w:ilvl="0" w:tplc="8F58C4B2">
      <w:start w:val="16"/>
      <w:numFmt w:val="decimal"/>
      <w:lvlText w:val="%1."/>
      <w:lvlJc w:val="left"/>
    </w:lvl>
    <w:lvl w:ilvl="1" w:tplc="7D2680B6">
      <w:numFmt w:val="decimal"/>
      <w:lvlText w:val=""/>
      <w:lvlJc w:val="left"/>
    </w:lvl>
    <w:lvl w:ilvl="2" w:tplc="520C0188">
      <w:numFmt w:val="decimal"/>
      <w:lvlText w:val=""/>
      <w:lvlJc w:val="left"/>
    </w:lvl>
    <w:lvl w:ilvl="3" w:tplc="FED03344">
      <w:numFmt w:val="decimal"/>
      <w:lvlText w:val=""/>
      <w:lvlJc w:val="left"/>
    </w:lvl>
    <w:lvl w:ilvl="4" w:tplc="44D8833A">
      <w:numFmt w:val="decimal"/>
      <w:lvlText w:val=""/>
      <w:lvlJc w:val="left"/>
    </w:lvl>
    <w:lvl w:ilvl="5" w:tplc="B622B5CC">
      <w:numFmt w:val="decimal"/>
      <w:lvlText w:val=""/>
      <w:lvlJc w:val="left"/>
    </w:lvl>
    <w:lvl w:ilvl="6" w:tplc="E214A358">
      <w:numFmt w:val="decimal"/>
      <w:lvlText w:val=""/>
      <w:lvlJc w:val="left"/>
    </w:lvl>
    <w:lvl w:ilvl="7" w:tplc="D8ACE1C6">
      <w:numFmt w:val="decimal"/>
      <w:lvlText w:val=""/>
      <w:lvlJc w:val="left"/>
    </w:lvl>
    <w:lvl w:ilvl="8" w:tplc="150AA910">
      <w:numFmt w:val="decimal"/>
      <w:lvlText w:val=""/>
      <w:lvlJc w:val="left"/>
    </w:lvl>
  </w:abstractNum>
  <w:abstractNum w:abstractNumId="4">
    <w:nsid w:val="625558EC"/>
    <w:multiLevelType w:val="hybridMultilevel"/>
    <w:tmpl w:val="101EC56C"/>
    <w:lvl w:ilvl="0" w:tplc="406CCCC0">
      <w:start w:val="11"/>
      <w:numFmt w:val="decimal"/>
      <w:lvlText w:val="%1."/>
      <w:lvlJc w:val="left"/>
    </w:lvl>
    <w:lvl w:ilvl="1" w:tplc="80608B4A">
      <w:numFmt w:val="decimal"/>
      <w:lvlText w:val=""/>
      <w:lvlJc w:val="left"/>
    </w:lvl>
    <w:lvl w:ilvl="2" w:tplc="14DCB214">
      <w:numFmt w:val="decimal"/>
      <w:lvlText w:val=""/>
      <w:lvlJc w:val="left"/>
    </w:lvl>
    <w:lvl w:ilvl="3" w:tplc="1F9E7B6A">
      <w:numFmt w:val="decimal"/>
      <w:lvlText w:val=""/>
      <w:lvlJc w:val="left"/>
    </w:lvl>
    <w:lvl w:ilvl="4" w:tplc="F6F26464">
      <w:numFmt w:val="decimal"/>
      <w:lvlText w:val=""/>
      <w:lvlJc w:val="left"/>
    </w:lvl>
    <w:lvl w:ilvl="5" w:tplc="CB6C8460">
      <w:numFmt w:val="decimal"/>
      <w:lvlText w:val=""/>
      <w:lvlJc w:val="left"/>
    </w:lvl>
    <w:lvl w:ilvl="6" w:tplc="E8163F4C">
      <w:numFmt w:val="decimal"/>
      <w:lvlText w:val=""/>
      <w:lvlJc w:val="left"/>
    </w:lvl>
    <w:lvl w:ilvl="7" w:tplc="D660D0E0">
      <w:numFmt w:val="decimal"/>
      <w:lvlText w:val=""/>
      <w:lvlJc w:val="left"/>
    </w:lvl>
    <w:lvl w:ilvl="8" w:tplc="AD9490F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E1"/>
    <w:rsid w:val="00105B35"/>
    <w:rsid w:val="00182193"/>
    <w:rsid w:val="006E2359"/>
    <w:rsid w:val="00830D53"/>
    <w:rsid w:val="008E5EE6"/>
    <w:rsid w:val="00A16B84"/>
    <w:rsid w:val="00B81CE1"/>
    <w:rsid w:val="00D45E9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21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2193"/>
  </w:style>
  <w:style w:type="paragraph" w:styleId="Zpat">
    <w:name w:val="footer"/>
    <w:basedOn w:val="Normln"/>
    <w:link w:val="ZpatChar"/>
    <w:uiPriority w:val="99"/>
    <w:unhideWhenUsed/>
    <w:rsid w:val="001821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2193"/>
  </w:style>
  <w:style w:type="paragraph" w:styleId="Textbubliny">
    <w:name w:val="Balloon Text"/>
    <w:basedOn w:val="Normln"/>
    <w:link w:val="TextbublinyChar"/>
    <w:uiPriority w:val="99"/>
    <w:semiHidden/>
    <w:unhideWhenUsed/>
    <w:rsid w:val="00182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21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2193"/>
  </w:style>
  <w:style w:type="paragraph" w:styleId="Zpat">
    <w:name w:val="footer"/>
    <w:basedOn w:val="Normln"/>
    <w:link w:val="ZpatChar"/>
    <w:uiPriority w:val="99"/>
    <w:unhideWhenUsed/>
    <w:rsid w:val="001821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2193"/>
  </w:style>
  <w:style w:type="paragraph" w:styleId="Textbubliny">
    <w:name w:val="Balloon Text"/>
    <w:basedOn w:val="Normln"/>
    <w:link w:val="TextbublinyChar"/>
    <w:uiPriority w:val="99"/>
    <w:semiHidden/>
    <w:unhideWhenUsed/>
    <w:rsid w:val="00182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579</Words>
  <Characters>3418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Náhlíková Pavla</cp:lastModifiedBy>
  <cp:revision>8</cp:revision>
  <dcterms:created xsi:type="dcterms:W3CDTF">2017-11-29T03:17:00Z</dcterms:created>
  <dcterms:modified xsi:type="dcterms:W3CDTF">2018-11-27T14:07:00Z</dcterms:modified>
</cp:coreProperties>
</file>