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79" w:rsidRPr="007132EA" w:rsidRDefault="00244D79">
      <w:pPr>
        <w:spacing w:line="200" w:lineRule="exact"/>
        <w:rPr>
          <w:rFonts w:asciiTheme="majorHAnsi" w:hAnsiTheme="majorHAnsi"/>
          <w:sz w:val="24"/>
          <w:szCs w:val="24"/>
        </w:rPr>
      </w:pPr>
    </w:p>
    <w:p w:rsidR="00244D79" w:rsidRPr="007132EA" w:rsidRDefault="00244D79">
      <w:pPr>
        <w:spacing w:line="347" w:lineRule="exact"/>
        <w:rPr>
          <w:rFonts w:asciiTheme="majorHAnsi" w:hAnsiTheme="majorHAnsi"/>
          <w:sz w:val="24"/>
          <w:szCs w:val="24"/>
        </w:rPr>
      </w:pPr>
    </w:p>
    <w:p w:rsidR="00244D79" w:rsidRPr="007132EA" w:rsidRDefault="009400DF" w:rsidP="007132EA">
      <w:pPr>
        <w:rPr>
          <w:rFonts w:asciiTheme="majorHAnsi" w:hAnsiTheme="majorHAnsi"/>
          <w:sz w:val="20"/>
          <w:szCs w:val="20"/>
        </w:rPr>
      </w:pPr>
      <w:r w:rsidRPr="007132EA">
        <w:rPr>
          <w:rFonts w:asciiTheme="majorHAnsi" w:eastAsia="Cambria" w:hAnsiTheme="majorHAnsi" w:cs="Cambria"/>
          <w:b/>
          <w:bCs/>
          <w:sz w:val="32"/>
          <w:szCs w:val="32"/>
          <w:u w:val="single"/>
        </w:rPr>
        <w:t>Tematické okruhy pro Státní závěrečné zkoušky</w:t>
      </w:r>
    </w:p>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244D79" w:rsidRPr="007132EA" w:rsidRDefault="00244D79">
      <w:pPr>
        <w:spacing w:line="325" w:lineRule="exact"/>
        <w:rPr>
          <w:rFonts w:asciiTheme="majorHAnsi" w:hAnsiTheme="majorHAnsi"/>
          <w:sz w:val="24"/>
          <w:szCs w:val="24"/>
        </w:rPr>
      </w:pPr>
    </w:p>
    <w:p w:rsidR="00244D79" w:rsidRPr="007132EA" w:rsidRDefault="009400DF" w:rsidP="007132EA">
      <w:pPr>
        <w:tabs>
          <w:tab w:val="left" w:pos="1460"/>
        </w:tabs>
        <w:rPr>
          <w:rFonts w:asciiTheme="majorHAnsi" w:hAnsiTheme="majorHAnsi"/>
        </w:rPr>
      </w:pPr>
      <w:r w:rsidRPr="007132EA">
        <w:rPr>
          <w:rFonts w:asciiTheme="majorHAnsi" w:eastAsia="Cambria" w:hAnsiTheme="majorHAnsi" w:cs="Cambria"/>
          <w:b/>
          <w:bCs/>
        </w:rPr>
        <w:t>Obor:</w:t>
      </w:r>
      <w:r w:rsidRPr="007132EA">
        <w:rPr>
          <w:rFonts w:asciiTheme="majorHAnsi" w:hAnsiTheme="majorHAnsi"/>
        </w:rPr>
        <w:tab/>
      </w:r>
      <w:r w:rsidR="007132EA" w:rsidRPr="007132EA">
        <w:rPr>
          <w:rFonts w:asciiTheme="majorHAnsi" w:hAnsiTheme="majorHAnsi"/>
        </w:rPr>
        <w:tab/>
      </w:r>
      <w:r w:rsidR="00B94DC4" w:rsidRPr="007132EA">
        <w:rPr>
          <w:rFonts w:asciiTheme="majorHAnsi" w:eastAsia="Cambria" w:hAnsiTheme="majorHAnsi" w:cs="Cambria"/>
        </w:rPr>
        <w:t>Pozemní stavby</w:t>
      </w:r>
    </w:p>
    <w:p w:rsidR="00244D79" w:rsidRPr="007132EA" w:rsidRDefault="00244D79">
      <w:pPr>
        <w:spacing w:line="242" w:lineRule="exact"/>
        <w:rPr>
          <w:rFonts w:asciiTheme="majorHAnsi" w:hAnsiTheme="majorHAnsi"/>
        </w:rPr>
      </w:pPr>
    </w:p>
    <w:p w:rsidR="00244D79" w:rsidRPr="007132EA" w:rsidRDefault="009400DF" w:rsidP="007132EA">
      <w:pPr>
        <w:tabs>
          <w:tab w:val="left" w:pos="1460"/>
        </w:tabs>
        <w:rPr>
          <w:rFonts w:asciiTheme="majorHAnsi" w:hAnsiTheme="majorHAnsi"/>
        </w:rPr>
      </w:pPr>
      <w:r w:rsidRPr="007132EA">
        <w:rPr>
          <w:rFonts w:asciiTheme="majorHAnsi" w:eastAsia="Cambria" w:hAnsiTheme="majorHAnsi" w:cs="Cambria"/>
          <w:b/>
          <w:bCs/>
        </w:rPr>
        <w:t>Název SZZ:</w:t>
      </w:r>
      <w:r w:rsidRPr="007132EA">
        <w:rPr>
          <w:rFonts w:asciiTheme="majorHAnsi" w:hAnsiTheme="majorHAnsi"/>
        </w:rPr>
        <w:tab/>
      </w:r>
      <w:r w:rsidR="007132EA" w:rsidRPr="007132EA">
        <w:rPr>
          <w:rFonts w:asciiTheme="majorHAnsi" w:hAnsiTheme="majorHAnsi"/>
        </w:rPr>
        <w:tab/>
      </w:r>
      <w:r w:rsidR="00892DB7" w:rsidRPr="007132EA">
        <w:rPr>
          <w:rFonts w:asciiTheme="majorHAnsi" w:eastAsia="Cambria" w:hAnsiTheme="majorHAnsi" w:cs="Cambria"/>
        </w:rPr>
        <w:t>Budovy a prostředí</w:t>
      </w:r>
    </w:p>
    <w:p w:rsidR="00244D79" w:rsidRPr="007132EA" w:rsidRDefault="00244D79">
      <w:pPr>
        <w:spacing w:line="200" w:lineRule="exact"/>
        <w:rPr>
          <w:rFonts w:asciiTheme="majorHAnsi" w:hAnsiTheme="majorHAnsi"/>
        </w:rPr>
      </w:pPr>
    </w:p>
    <w:p w:rsidR="00244D79" w:rsidRDefault="00244D79">
      <w:pPr>
        <w:spacing w:line="200" w:lineRule="exact"/>
        <w:rPr>
          <w:rFonts w:asciiTheme="majorHAnsi" w:hAnsiTheme="majorHAnsi"/>
        </w:rPr>
      </w:pPr>
    </w:p>
    <w:p w:rsidR="007132EA" w:rsidRPr="007132EA" w:rsidRDefault="007132EA">
      <w:pPr>
        <w:spacing w:line="200" w:lineRule="exact"/>
        <w:rPr>
          <w:rFonts w:asciiTheme="majorHAnsi" w:hAnsiTheme="majorHAnsi"/>
        </w:rPr>
      </w:pPr>
    </w:p>
    <w:p w:rsidR="00244D79" w:rsidRPr="007132EA" w:rsidRDefault="00244D79">
      <w:pPr>
        <w:spacing w:line="200" w:lineRule="exact"/>
        <w:rPr>
          <w:rFonts w:asciiTheme="majorHAnsi" w:hAnsiTheme="majorHAnsi"/>
        </w:rPr>
      </w:pPr>
    </w:p>
    <w:p w:rsidR="00244D79" w:rsidRPr="007132EA" w:rsidRDefault="007132EA" w:rsidP="007132EA">
      <w:pPr>
        <w:spacing w:line="360" w:lineRule="auto"/>
        <w:rPr>
          <w:rFonts w:asciiTheme="majorHAnsi" w:hAnsiTheme="majorHAnsi"/>
        </w:rPr>
      </w:pPr>
      <w:proofErr w:type="spellStart"/>
      <w:r w:rsidRPr="007132EA">
        <w:rPr>
          <w:rFonts w:asciiTheme="majorHAnsi" w:hAnsiTheme="majorHAnsi"/>
          <w:b/>
        </w:rPr>
        <w:t>Prerekvizity</w:t>
      </w:r>
      <w:proofErr w:type="spellEnd"/>
      <w:r w:rsidRPr="007132EA">
        <w:rPr>
          <w:rFonts w:asciiTheme="majorHAnsi" w:hAnsiTheme="majorHAnsi"/>
          <w:b/>
        </w:rPr>
        <w:t xml:space="preserve"> k SZZ:</w:t>
      </w:r>
      <w:r w:rsidRPr="007132EA">
        <w:rPr>
          <w:rFonts w:asciiTheme="majorHAnsi" w:hAnsiTheme="majorHAnsi"/>
        </w:rPr>
        <w:tab/>
        <w:t>Stavební fyzika I.</w:t>
      </w:r>
    </w:p>
    <w:p w:rsidR="007132EA" w:rsidRPr="007132EA" w:rsidRDefault="007132EA" w:rsidP="007132EA">
      <w:pPr>
        <w:spacing w:line="360" w:lineRule="auto"/>
        <w:ind w:left="1440" w:firstLine="720"/>
        <w:rPr>
          <w:rFonts w:asciiTheme="majorHAnsi" w:hAnsiTheme="majorHAnsi"/>
        </w:rPr>
      </w:pPr>
      <w:r w:rsidRPr="007132EA">
        <w:rPr>
          <w:rFonts w:asciiTheme="majorHAnsi" w:hAnsiTheme="majorHAnsi"/>
        </w:rPr>
        <w:t>Stavební fyzika II.</w:t>
      </w:r>
    </w:p>
    <w:p w:rsidR="007132EA" w:rsidRPr="007132EA" w:rsidRDefault="007132EA" w:rsidP="007132EA">
      <w:pPr>
        <w:spacing w:line="360" w:lineRule="auto"/>
        <w:ind w:left="1440" w:firstLine="720"/>
        <w:rPr>
          <w:rFonts w:asciiTheme="majorHAnsi" w:hAnsiTheme="majorHAnsi"/>
        </w:rPr>
      </w:pPr>
      <w:r w:rsidRPr="007132EA">
        <w:rPr>
          <w:rFonts w:asciiTheme="majorHAnsi" w:hAnsiTheme="majorHAnsi"/>
        </w:rPr>
        <w:t>Budovy a prostředí</w:t>
      </w:r>
    </w:p>
    <w:p w:rsidR="007132EA" w:rsidRPr="007132EA" w:rsidRDefault="007132EA" w:rsidP="007132EA">
      <w:pPr>
        <w:spacing w:line="360" w:lineRule="auto"/>
        <w:ind w:left="1440" w:firstLine="720"/>
        <w:rPr>
          <w:rFonts w:asciiTheme="majorHAnsi" w:hAnsiTheme="majorHAnsi"/>
        </w:rPr>
      </w:pPr>
      <w:r w:rsidRPr="007132EA">
        <w:rPr>
          <w:rFonts w:asciiTheme="majorHAnsi" w:hAnsiTheme="majorHAnsi"/>
        </w:rPr>
        <w:t>Technická zařízení budov I.</w:t>
      </w:r>
    </w:p>
    <w:p w:rsidR="007132EA" w:rsidRPr="007132EA" w:rsidRDefault="007132EA" w:rsidP="007132EA">
      <w:pPr>
        <w:spacing w:line="360" w:lineRule="auto"/>
        <w:ind w:left="1440" w:firstLine="720"/>
        <w:rPr>
          <w:rFonts w:asciiTheme="majorHAnsi" w:hAnsiTheme="majorHAnsi"/>
        </w:rPr>
      </w:pPr>
      <w:r w:rsidRPr="007132EA">
        <w:rPr>
          <w:rFonts w:asciiTheme="majorHAnsi" w:hAnsiTheme="majorHAnsi"/>
        </w:rPr>
        <w:t>Technická zařízení budov I</w:t>
      </w:r>
      <w:r w:rsidRPr="007132EA">
        <w:rPr>
          <w:rFonts w:asciiTheme="majorHAnsi" w:hAnsiTheme="majorHAnsi"/>
        </w:rPr>
        <w:t>I</w:t>
      </w:r>
      <w:r w:rsidRPr="007132EA">
        <w:rPr>
          <w:rFonts w:asciiTheme="majorHAnsi" w:hAnsiTheme="majorHAnsi"/>
        </w:rPr>
        <w:t>.</w:t>
      </w:r>
    </w:p>
    <w:p w:rsidR="007132EA" w:rsidRPr="007132EA" w:rsidRDefault="007132EA" w:rsidP="007132EA">
      <w:pPr>
        <w:spacing w:line="360" w:lineRule="auto"/>
        <w:ind w:left="1440" w:firstLine="720"/>
        <w:rPr>
          <w:rFonts w:asciiTheme="majorHAnsi" w:hAnsiTheme="majorHAnsi"/>
        </w:rPr>
      </w:pPr>
      <w:r w:rsidRPr="007132EA">
        <w:rPr>
          <w:rFonts w:asciiTheme="majorHAnsi" w:hAnsiTheme="majorHAnsi"/>
        </w:rPr>
        <w:t>Nízkoenergetické a pasivní budovy</w:t>
      </w:r>
    </w:p>
    <w:p w:rsidR="00244D79" w:rsidRPr="007132EA" w:rsidRDefault="00244D79">
      <w:pPr>
        <w:spacing w:line="200" w:lineRule="exact"/>
        <w:rPr>
          <w:rFonts w:asciiTheme="majorHAnsi" w:hAnsiTheme="majorHAnsi"/>
        </w:rPr>
      </w:pPr>
    </w:p>
    <w:p w:rsidR="00244D79" w:rsidRPr="007132EA" w:rsidRDefault="00244D79">
      <w:pPr>
        <w:spacing w:line="200" w:lineRule="exact"/>
        <w:rPr>
          <w:rFonts w:asciiTheme="majorHAnsi" w:hAnsiTheme="majorHAnsi"/>
        </w:rPr>
      </w:pPr>
    </w:p>
    <w:p w:rsidR="00244D79" w:rsidRPr="007132EA" w:rsidRDefault="00244D79">
      <w:pPr>
        <w:spacing w:line="200" w:lineRule="exact"/>
        <w:rPr>
          <w:rFonts w:asciiTheme="majorHAnsi" w:hAnsiTheme="majorHAnsi"/>
        </w:rPr>
      </w:pPr>
    </w:p>
    <w:p w:rsidR="00244D79" w:rsidRPr="007132EA" w:rsidRDefault="00244D79">
      <w:pPr>
        <w:spacing w:line="200" w:lineRule="exact"/>
        <w:rPr>
          <w:rFonts w:asciiTheme="majorHAnsi" w:hAnsiTheme="majorHAnsi"/>
        </w:rPr>
      </w:pPr>
    </w:p>
    <w:p w:rsidR="00244D79" w:rsidRPr="007132EA" w:rsidRDefault="00244D79">
      <w:pPr>
        <w:spacing w:line="200" w:lineRule="exact"/>
        <w:rPr>
          <w:rFonts w:asciiTheme="majorHAnsi" w:hAnsiTheme="majorHAnsi"/>
        </w:rPr>
      </w:pPr>
    </w:p>
    <w:p w:rsidR="00244D79" w:rsidRPr="007132EA" w:rsidRDefault="00244D79">
      <w:pPr>
        <w:spacing w:line="200" w:lineRule="exact"/>
        <w:rPr>
          <w:rFonts w:asciiTheme="majorHAnsi" w:hAnsiTheme="majorHAnsi"/>
        </w:rPr>
      </w:pPr>
    </w:p>
    <w:p w:rsidR="00244D79" w:rsidRPr="007132EA" w:rsidRDefault="00244D79">
      <w:pPr>
        <w:spacing w:line="200" w:lineRule="exact"/>
        <w:rPr>
          <w:rFonts w:asciiTheme="majorHAnsi" w:hAnsiTheme="majorHAnsi"/>
        </w:rPr>
      </w:pPr>
    </w:p>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244D79" w:rsidRPr="007132EA" w:rsidRDefault="00244D79">
      <w:pPr>
        <w:spacing w:line="244" w:lineRule="exact"/>
        <w:rPr>
          <w:rFonts w:asciiTheme="majorHAnsi" w:hAnsiTheme="majorHAnsi"/>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8"/>
        <w:gridCol w:w="3828"/>
        <w:gridCol w:w="1275"/>
        <w:gridCol w:w="2589"/>
      </w:tblGrid>
      <w:tr w:rsidR="00244D79" w:rsidRPr="007132EA" w:rsidTr="007132EA">
        <w:trPr>
          <w:trHeight w:val="310"/>
        </w:trPr>
        <w:tc>
          <w:tcPr>
            <w:tcW w:w="2268" w:type="dxa"/>
            <w:tcBorders>
              <w:top w:val="single" w:sz="8" w:space="0" w:color="auto"/>
              <w:left w:val="single" w:sz="8" w:space="0" w:color="auto"/>
              <w:right w:val="single" w:sz="8" w:space="0" w:color="auto"/>
            </w:tcBorders>
          </w:tcPr>
          <w:p w:rsidR="00244D79" w:rsidRPr="007132EA" w:rsidRDefault="009400DF" w:rsidP="007132EA">
            <w:pPr>
              <w:ind w:left="80"/>
              <w:rPr>
                <w:rFonts w:asciiTheme="majorHAnsi" w:hAnsiTheme="majorHAnsi"/>
                <w:sz w:val="20"/>
                <w:szCs w:val="20"/>
              </w:rPr>
            </w:pPr>
            <w:r w:rsidRPr="007132EA">
              <w:rPr>
                <w:rFonts w:asciiTheme="majorHAnsi" w:eastAsia="Cambria" w:hAnsiTheme="majorHAnsi" w:cs="Cambria"/>
                <w:b/>
                <w:bCs/>
                <w:sz w:val="20"/>
                <w:szCs w:val="20"/>
              </w:rPr>
              <w:t>Vypracoval:</w:t>
            </w:r>
          </w:p>
        </w:tc>
        <w:tc>
          <w:tcPr>
            <w:tcW w:w="3828" w:type="dxa"/>
            <w:tcBorders>
              <w:top w:val="single" w:sz="8" w:space="0" w:color="auto"/>
              <w:right w:val="single" w:sz="8" w:space="0" w:color="auto"/>
            </w:tcBorders>
          </w:tcPr>
          <w:p w:rsidR="00244D79" w:rsidRPr="007132EA" w:rsidRDefault="007132EA" w:rsidP="007132EA">
            <w:pPr>
              <w:ind w:left="60"/>
              <w:rPr>
                <w:rFonts w:asciiTheme="majorHAnsi" w:eastAsia="Cambria" w:hAnsiTheme="majorHAnsi" w:cs="Cambria"/>
                <w:sz w:val="20"/>
                <w:szCs w:val="20"/>
              </w:rPr>
            </w:pPr>
            <w:r w:rsidRPr="007132EA">
              <w:rPr>
                <w:rFonts w:asciiTheme="majorHAnsi" w:eastAsia="Cambria" w:hAnsiTheme="majorHAnsi" w:cs="Cambria"/>
                <w:sz w:val="20"/>
                <w:szCs w:val="20"/>
              </w:rPr>
              <w:t xml:space="preserve"> </w:t>
            </w:r>
            <w:r w:rsidRPr="007132EA">
              <w:rPr>
                <w:rFonts w:asciiTheme="majorHAnsi" w:eastAsia="Cambria" w:hAnsiTheme="majorHAnsi" w:cs="Cambria"/>
                <w:sz w:val="20"/>
                <w:szCs w:val="20"/>
              </w:rPr>
              <w:t>prof. Ing. Ingrid </w:t>
            </w:r>
            <w:proofErr w:type="spellStart"/>
            <w:r w:rsidRPr="007132EA">
              <w:rPr>
                <w:rFonts w:asciiTheme="majorHAnsi" w:eastAsia="Cambria" w:hAnsiTheme="majorHAnsi" w:cs="Cambria"/>
                <w:sz w:val="20"/>
                <w:szCs w:val="20"/>
              </w:rPr>
              <w:t>Juhásová</w:t>
            </w:r>
            <w:proofErr w:type="spellEnd"/>
            <w:r w:rsidRPr="007132EA">
              <w:rPr>
                <w:rFonts w:asciiTheme="majorHAnsi" w:eastAsia="Cambria" w:hAnsiTheme="majorHAnsi" w:cs="Cambria"/>
                <w:sz w:val="20"/>
                <w:szCs w:val="20"/>
              </w:rPr>
              <w:t xml:space="preserve"> </w:t>
            </w:r>
            <w:proofErr w:type="spellStart"/>
            <w:r w:rsidRPr="007132EA">
              <w:rPr>
                <w:rFonts w:asciiTheme="majorHAnsi" w:eastAsia="Cambria" w:hAnsiTheme="majorHAnsi" w:cs="Cambria"/>
                <w:sz w:val="20"/>
                <w:szCs w:val="20"/>
              </w:rPr>
              <w:t>Šenitková</w:t>
            </w:r>
            <w:proofErr w:type="spellEnd"/>
            <w:r w:rsidRPr="007132EA">
              <w:rPr>
                <w:rFonts w:asciiTheme="majorHAnsi" w:eastAsia="Cambria" w:hAnsiTheme="majorHAnsi" w:cs="Cambria"/>
                <w:sz w:val="20"/>
                <w:szCs w:val="20"/>
              </w:rPr>
              <w:t>, CSc.</w:t>
            </w:r>
          </w:p>
        </w:tc>
        <w:tc>
          <w:tcPr>
            <w:tcW w:w="1275" w:type="dxa"/>
            <w:tcBorders>
              <w:top w:val="single" w:sz="8" w:space="0" w:color="auto"/>
              <w:right w:val="single" w:sz="8" w:space="0" w:color="auto"/>
            </w:tcBorders>
          </w:tcPr>
          <w:p w:rsidR="00244D79" w:rsidRPr="007132EA" w:rsidRDefault="009400DF" w:rsidP="007132EA">
            <w:pPr>
              <w:ind w:left="60"/>
              <w:rPr>
                <w:rFonts w:asciiTheme="majorHAnsi" w:hAnsiTheme="majorHAnsi"/>
                <w:sz w:val="20"/>
                <w:szCs w:val="20"/>
              </w:rPr>
            </w:pPr>
            <w:r w:rsidRPr="007132EA">
              <w:rPr>
                <w:rFonts w:asciiTheme="majorHAnsi" w:eastAsia="Cambria" w:hAnsiTheme="majorHAnsi" w:cs="Cambria"/>
                <w:b/>
                <w:bCs/>
                <w:sz w:val="20"/>
                <w:szCs w:val="20"/>
              </w:rPr>
              <w:t>Podpis:</w:t>
            </w:r>
          </w:p>
        </w:tc>
        <w:tc>
          <w:tcPr>
            <w:tcW w:w="2589" w:type="dxa"/>
            <w:tcBorders>
              <w:top w:val="single" w:sz="8" w:space="0" w:color="auto"/>
              <w:right w:val="single" w:sz="8" w:space="0" w:color="auto"/>
            </w:tcBorders>
            <w:vAlign w:val="bottom"/>
          </w:tcPr>
          <w:p w:rsidR="00244D79" w:rsidRPr="007132EA" w:rsidRDefault="00244D79">
            <w:pPr>
              <w:rPr>
                <w:rFonts w:asciiTheme="majorHAnsi" w:hAnsiTheme="majorHAnsi"/>
                <w:sz w:val="24"/>
                <w:szCs w:val="24"/>
              </w:rPr>
            </w:pPr>
          </w:p>
        </w:tc>
      </w:tr>
      <w:tr w:rsidR="00244D79" w:rsidRPr="007132EA" w:rsidTr="007132EA">
        <w:trPr>
          <w:trHeight w:val="306"/>
        </w:trPr>
        <w:tc>
          <w:tcPr>
            <w:tcW w:w="2268" w:type="dxa"/>
            <w:tcBorders>
              <w:left w:val="single" w:sz="8" w:space="0" w:color="auto"/>
              <w:bottom w:val="single" w:sz="8" w:space="0" w:color="auto"/>
              <w:right w:val="single" w:sz="8" w:space="0" w:color="auto"/>
            </w:tcBorders>
          </w:tcPr>
          <w:p w:rsidR="00244D79" w:rsidRPr="007132EA" w:rsidRDefault="00244D79" w:rsidP="007132EA">
            <w:pPr>
              <w:rPr>
                <w:rFonts w:asciiTheme="majorHAnsi" w:hAnsiTheme="majorHAnsi"/>
                <w:sz w:val="24"/>
                <w:szCs w:val="24"/>
              </w:rPr>
            </w:pPr>
          </w:p>
        </w:tc>
        <w:tc>
          <w:tcPr>
            <w:tcW w:w="3828" w:type="dxa"/>
            <w:tcBorders>
              <w:bottom w:val="single" w:sz="8" w:space="0" w:color="auto"/>
              <w:right w:val="single" w:sz="8" w:space="0" w:color="auto"/>
            </w:tcBorders>
          </w:tcPr>
          <w:p w:rsidR="00244D79" w:rsidRPr="007132EA" w:rsidRDefault="00244D79" w:rsidP="007132EA">
            <w:pPr>
              <w:rPr>
                <w:rFonts w:asciiTheme="majorHAnsi" w:hAnsiTheme="majorHAnsi"/>
                <w:sz w:val="24"/>
                <w:szCs w:val="24"/>
              </w:rPr>
            </w:pPr>
          </w:p>
        </w:tc>
        <w:tc>
          <w:tcPr>
            <w:tcW w:w="1275" w:type="dxa"/>
            <w:tcBorders>
              <w:bottom w:val="single" w:sz="8" w:space="0" w:color="auto"/>
              <w:right w:val="single" w:sz="8" w:space="0" w:color="auto"/>
            </w:tcBorders>
          </w:tcPr>
          <w:p w:rsidR="00244D79" w:rsidRPr="007132EA" w:rsidRDefault="00244D79" w:rsidP="007132EA">
            <w:pPr>
              <w:rPr>
                <w:rFonts w:asciiTheme="majorHAnsi" w:hAnsiTheme="majorHAnsi"/>
                <w:sz w:val="24"/>
                <w:szCs w:val="24"/>
              </w:rPr>
            </w:pPr>
          </w:p>
        </w:tc>
        <w:tc>
          <w:tcPr>
            <w:tcW w:w="2589" w:type="dxa"/>
            <w:tcBorders>
              <w:bottom w:val="single" w:sz="8" w:space="0" w:color="auto"/>
              <w:right w:val="single" w:sz="8" w:space="0" w:color="auto"/>
            </w:tcBorders>
            <w:vAlign w:val="bottom"/>
          </w:tcPr>
          <w:p w:rsidR="00244D79" w:rsidRPr="007132EA" w:rsidRDefault="00244D79">
            <w:pPr>
              <w:rPr>
                <w:rFonts w:asciiTheme="majorHAnsi" w:hAnsiTheme="majorHAnsi"/>
                <w:sz w:val="24"/>
                <w:szCs w:val="24"/>
              </w:rPr>
            </w:pPr>
          </w:p>
        </w:tc>
      </w:tr>
      <w:tr w:rsidR="00244D79" w:rsidRPr="007132EA" w:rsidTr="007132EA">
        <w:trPr>
          <w:trHeight w:val="468"/>
        </w:trPr>
        <w:tc>
          <w:tcPr>
            <w:tcW w:w="2268" w:type="dxa"/>
            <w:tcBorders>
              <w:left w:val="single" w:sz="8" w:space="0" w:color="auto"/>
              <w:right w:val="single" w:sz="8" w:space="0" w:color="auto"/>
            </w:tcBorders>
          </w:tcPr>
          <w:p w:rsidR="00244D79" w:rsidRPr="007132EA" w:rsidRDefault="009400DF" w:rsidP="007132EA">
            <w:pPr>
              <w:ind w:left="80"/>
              <w:rPr>
                <w:rFonts w:asciiTheme="majorHAnsi" w:hAnsiTheme="majorHAnsi"/>
                <w:sz w:val="20"/>
                <w:szCs w:val="20"/>
              </w:rPr>
            </w:pPr>
            <w:r w:rsidRPr="007132EA">
              <w:rPr>
                <w:rFonts w:asciiTheme="majorHAnsi" w:eastAsia="Cambria" w:hAnsiTheme="majorHAnsi" w:cs="Cambria"/>
                <w:b/>
                <w:bCs/>
                <w:sz w:val="20"/>
                <w:szCs w:val="20"/>
              </w:rPr>
              <w:t>Schválil garant oboru:</w:t>
            </w:r>
          </w:p>
        </w:tc>
        <w:tc>
          <w:tcPr>
            <w:tcW w:w="3828" w:type="dxa"/>
            <w:tcBorders>
              <w:right w:val="single" w:sz="8" w:space="0" w:color="auto"/>
            </w:tcBorders>
          </w:tcPr>
          <w:p w:rsidR="00244D79" w:rsidRPr="007132EA" w:rsidRDefault="007132EA" w:rsidP="007132EA">
            <w:pPr>
              <w:ind w:left="60"/>
              <w:rPr>
                <w:rFonts w:asciiTheme="majorHAnsi" w:eastAsia="Cambria" w:hAnsiTheme="majorHAnsi" w:cs="Cambria"/>
                <w:sz w:val="20"/>
                <w:szCs w:val="20"/>
              </w:rPr>
            </w:pPr>
            <w:r w:rsidRPr="007132EA">
              <w:rPr>
                <w:rFonts w:asciiTheme="majorHAnsi" w:eastAsia="Cambria" w:hAnsiTheme="majorHAnsi" w:cs="Cambria"/>
                <w:sz w:val="20"/>
                <w:szCs w:val="20"/>
              </w:rPr>
              <w:t xml:space="preserve">  </w:t>
            </w:r>
            <w:r w:rsidRPr="007132EA">
              <w:rPr>
                <w:rFonts w:asciiTheme="majorHAnsi" w:eastAsia="Cambria" w:hAnsiTheme="majorHAnsi" w:cs="Cambria"/>
                <w:sz w:val="20"/>
                <w:szCs w:val="20"/>
              </w:rPr>
              <w:t>prof. Ing. Ingrid </w:t>
            </w:r>
            <w:proofErr w:type="spellStart"/>
            <w:r w:rsidRPr="007132EA">
              <w:rPr>
                <w:rFonts w:asciiTheme="majorHAnsi" w:eastAsia="Cambria" w:hAnsiTheme="majorHAnsi" w:cs="Cambria"/>
                <w:sz w:val="20"/>
                <w:szCs w:val="20"/>
              </w:rPr>
              <w:t>Juhásová</w:t>
            </w:r>
            <w:proofErr w:type="spellEnd"/>
            <w:r w:rsidRPr="007132EA">
              <w:rPr>
                <w:rFonts w:asciiTheme="majorHAnsi" w:eastAsia="Cambria" w:hAnsiTheme="majorHAnsi" w:cs="Cambria"/>
                <w:sz w:val="20"/>
                <w:szCs w:val="20"/>
              </w:rPr>
              <w:t xml:space="preserve"> </w:t>
            </w:r>
            <w:proofErr w:type="spellStart"/>
            <w:r w:rsidRPr="007132EA">
              <w:rPr>
                <w:rFonts w:asciiTheme="majorHAnsi" w:eastAsia="Cambria" w:hAnsiTheme="majorHAnsi" w:cs="Cambria"/>
                <w:sz w:val="20"/>
                <w:szCs w:val="20"/>
              </w:rPr>
              <w:t>Šenitková</w:t>
            </w:r>
            <w:proofErr w:type="spellEnd"/>
            <w:r w:rsidRPr="007132EA">
              <w:rPr>
                <w:rFonts w:asciiTheme="majorHAnsi" w:eastAsia="Cambria" w:hAnsiTheme="majorHAnsi" w:cs="Cambria"/>
                <w:sz w:val="20"/>
                <w:szCs w:val="20"/>
              </w:rPr>
              <w:t>, CSc.</w:t>
            </w:r>
          </w:p>
        </w:tc>
        <w:tc>
          <w:tcPr>
            <w:tcW w:w="1275" w:type="dxa"/>
            <w:tcBorders>
              <w:right w:val="single" w:sz="8" w:space="0" w:color="auto"/>
            </w:tcBorders>
          </w:tcPr>
          <w:p w:rsidR="00244D79" w:rsidRPr="007132EA" w:rsidRDefault="009400DF" w:rsidP="007132EA">
            <w:pPr>
              <w:ind w:left="60"/>
              <w:rPr>
                <w:rFonts w:asciiTheme="majorHAnsi" w:hAnsiTheme="majorHAnsi"/>
                <w:sz w:val="20"/>
                <w:szCs w:val="20"/>
              </w:rPr>
            </w:pPr>
            <w:r w:rsidRPr="007132EA">
              <w:rPr>
                <w:rFonts w:asciiTheme="majorHAnsi" w:eastAsia="Cambria" w:hAnsiTheme="majorHAnsi" w:cs="Cambria"/>
                <w:b/>
                <w:bCs/>
                <w:sz w:val="20"/>
                <w:szCs w:val="20"/>
              </w:rPr>
              <w:t>Podpis:</w:t>
            </w:r>
          </w:p>
        </w:tc>
        <w:tc>
          <w:tcPr>
            <w:tcW w:w="2589" w:type="dxa"/>
            <w:tcBorders>
              <w:right w:val="single" w:sz="8" w:space="0" w:color="auto"/>
            </w:tcBorders>
            <w:vAlign w:val="bottom"/>
          </w:tcPr>
          <w:p w:rsidR="00244D79" w:rsidRPr="007132EA" w:rsidRDefault="00244D79">
            <w:pPr>
              <w:rPr>
                <w:rFonts w:asciiTheme="majorHAnsi" w:hAnsiTheme="majorHAnsi"/>
                <w:sz w:val="24"/>
                <w:szCs w:val="24"/>
              </w:rPr>
            </w:pPr>
          </w:p>
        </w:tc>
      </w:tr>
      <w:tr w:rsidR="00244D79" w:rsidRPr="007132EA" w:rsidTr="007132EA">
        <w:trPr>
          <w:trHeight w:val="237"/>
        </w:trPr>
        <w:tc>
          <w:tcPr>
            <w:tcW w:w="2268" w:type="dxa"/>
            <w:tcBorders>
              <w:left w:val="single" w:sz="8" w:space="0" w:color="auto"/>
              <w:bottom w:val="single" w:sz="8" w:space="0" w:color="auto"/>
              <w:right w:val="single" w:sz="8" w:space="0" w:color="auto"/>
            </w:tcBorders>
            <w:vAlign w:val="bottom"/>
          </w:tcPr>
          <w:p w:rsidR="00244D79" w:rsidRPr="007132EA" w:rsidRDefault="00244D79">
            <w:pPr>
              <w:rPr>
                <w:rFonts w:asciiTheme="majorHAnsi" w:hAnsiTheme="majorHAnsi"/>
                <w:sz w:val="20"/>
                <w:szCs w:val="20"/>
              </w:rPr>
            </w:pPr>
          </w:p>
        </w:tc>
        <w:tc>
          <w:tcPr>
            <w:tcW w:w="3828" w:type="dxa"/>
            <w:tcBorders>
              <w:bottom w:val="single" w:sz="8" w:space="0" w:color="auto"/>
              <w:right w:val="single" w:sz="8" w:space="0" w:color="auto"/>
            </w:tcBorders>
            <w:vAlign w:val="bottom"/>
          </w:tcPr>
          <w:p w:rsidR="00244D79" w:rsidRPr="007132EA" w:rsidRDefault="00244D79">
            <w:pPr>
              <w:rPr>
                <w:rFonts w:asciiTheme="majorHAnsi" w:hAnsiTheme="majorHAnsi"/>
                <w:sz w:val="20"/>
                <w:szCs w:val="20"/>
              </w:rPr>
            </w:pPr>
          </w:p>
        </w:tc>
        <w:tc>
          <w:tcPr>
            <w:tcW w:w="1275" w:type="dxa"/>
            <w:tcBorders>
              <w:bottom w:val="single" w:sz="8" w:space="0" w:color="auto"/>
              <w:right w:val="single" w:sz="8" w:space="0" w:color="auto"/>
            </w:tcBorders>
            <w:vAlign w:val="bottom"/>
          </w:tcPr>
          <w:p w:rsidR="00244D79" w:rsidRPr="007132EA" w:rsidRDefault="00244D79">
            <w:pPr>
              <w:rPr>
                <w:rFonts w:asciiTheme="majorHAnsi" w:hAnsiTheme="majorHAnsi"/>
                <w:sz w:val="20"/>
                <w:szCs w:val="20"/>
              </w:rPr>
            </w:pPr>
          </w:p>
        </w:tc>
        <w:tc>
          <w:tcPr>
            <w:tcW w:w="2589" w:type="dxa"/>
            <w:tcBorders>
              <w:bottom w:val="single" w:sz="8" w:space="0" w:color="auto"/>
              <w:right w:val="single" w:sz="8" w:space="0" w:color="auto"/>
            </w:tcBorders>
            <w:vAlign w:val="bottom"/>
          </w:tcPr>
          <w:p w:rsidR="00244D79" w:rsidRPr="007132EA" w:rsidRDefault="00244D79">
            <w:pPr>
              <w:rPr>
                <w:rFonts w:asciiTheme="majorHAnsi" w:hAnsiTheme="majorHAnsi"/>
                <w:sz w:val="20"/>
                <w:szCs w:val="20"/>
              </w:rPr>
            </w:pPr>
          </w:p>
        </w:tc>
      </w:tr>
    </w:tbl>
    <w:p w:rsidR="00244D79" w:rsidRPr="007132EA" w:rsidRDefault="009400DF">
      <w:pPr>
        <w:spacing w:line="20" w:lineRule="exact"/>
        <w:rPr>
          <w:rFonts w:asciiTheme="majorHAnsi" w:hAnsiTheme="majorHAnsi"/>
          <w:sz w:val="24"/>
          <w:szCs w:val="24"/>
        </w:rPr>
      </w:pPr>
      <w:r w:rsidRPr="007132EA">
        <w:rPr>
          <w:rFonts w:asciiTheme="majorHAnsi" w:hAnsiTheme="majorHAnsi"/>
          <w:noProof/>
          <w:sz w:val="24"/>
          <w:szCs w:val="24"/>
        </w:rPr>
        <mc:AlternateContent>
          <mc:Choice Requires="wps">
            <w:drawing>
              <wp:anchor distT="0" distB="0" distL="114300" distR="114300" simplePos="0" relativeHeight="251656704" behindDoc="1" locked="0" layoutInCell="0" allowOverlap="1" wp14:anchorId="4012F94E" wp14:editId="32F2FAFB">
                <wp:simplePos x="0" y="0"/>
                <wp:positionH relativeFrom="column">
                  <wp:posOffset>6312535</wp:posOffset>
                </wp:positionH>
                <wp:positionV relativeFrom="paragraph">
                  <wp:posOffset>-909955</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8E8CBD" id="Shape 2" o:spid="_x0000_s1026" style="position:absolute;margin-left:497.05pt;margin-top:-71.65pt;width:.95pt;height:.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" o:allowincell="f" fillcolor="black" stroked="f">
                <v:path arrowok="t"/>
              </v:rect>
            </w:pict>
          </mc:Fallback>
        </mc:AlternateContent>
      </w:r>
    </w:p>
    <w:p w:rsidR="00244D79" w:rsidRPr="007132EA" w:rsidRDefault="00244D79">
      <w:pPr>
        <w:spacing w:line="200" w:lineRule="exact"/>
        <w:rPr>
          <w:rFonts w:asciiTheme="majorHAnsi" w:hAnsiTheme="majorHAnsi"/>
          <w:sz w:val="24"/>
          <w:szCs w:val="24"/>
        </w:rPr>
      </w:pPr>
    </w:p>
    <w:p w:rsidR="00244D79" w:rsidRPr="007132EA" w:rsidRDefault="00244D79">
      <w:pPr>
        <w:spacing w:line="391" w:lineRule="exact"/>
        <w:rPr>
          <w:rFonts w:asciiTheme="majorHAnsi" w:hAnsiTheme="majorHAnsi"/>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8"/>
        <w:gridCol w:w="3852"/>
      </w:tblGrid>
      <w:tr w:rsidR="00244D79" w:rsidRPr="007132EA" w:rsidTr="007132EA">
        <w:trPr>
          <w:trHeight w:val="243"/>
        </w:trPr>
        <w:tc>
          <w:tcPr>
            <w:tcW w:w="2268" w:type="dxa"/>
            <w:tcBorders>
              <w:top w:val="single" w:sz="8" w:space="0" w:color="auto"/>
              <w:left w:val="single" w:sz="8" w:space="0" w:color="auto"/>
              <w:right w:val="single" w:sz="8" w:space="0" w:color="auto"/>
            </w:tcBorders>
            <w:vAlign w:val="bottom"/>
          </w:tcPr>
          <w:p w:rsidR="00244D79" w:rsidRPr="007132EA" w:rsidRDefault="009400DF">
            <w:pPr>
              <w:ind w:left="80"/>
              <w:rPr>
                <w:rFonts w:asciiTheme="majorHAnsi" w:hAnsiTheme="majorHAnsi"/>
                <w:sz w:val="20"/>
                <w:szCs w:val="20"/>
              </w:rPr>
            </w:pPr>
            <w:r w:rsidRPr="007132EA">
              <w:rPr>
                <w:rFonts w:asciiTheme="majorHAnsi" w:eastAsia="Cambria" w:hAnsiTheme="majorHAnsi" w:cs="Cambria"/>
                <w:b/>
                <w:bCs/>
                <w:sz w:val="20"/>
                <w:szCs w:val="20"/>
              </w:rPr>
              <w:t>Datum vydání:</w:t>
            </w:r>
          </w:p>
        </w:tc>
        <w:tc>
          <w:tcPr>
            <w:tcW w:w="3852" w:type="dxa"/>
            <w:tcBorders>
              <w:top w:val="single" w:sz="8" w:space="0" w:color="auto"/>
              <w:right w:val="single" w:sz="8" w:space="0" w:color="auto"/>
            </w:tcBorders>
            <w:vAlign w:val="bottom"/>
          </w:tcPr>
          <w:p w:rsidR="00244D79" w:rsidRPr="007132EA" w:rsidRDefault="007132EA" w:rsidP="007132EA">
            <w:pPr>
              <w:ind w:right="1680"/>
              <w:rPr>
                <w:rFonts w:asciiTheme="majorHAnsi" w:hAnsiTheme="majorHAnsi"/>
                <w:sz w:val="20"/>
                <w:szCs w:val="20"/>
              </w:rPr>
            </w:pPr>
            <w:r w:rsidRPr="007132EA">
              <w:rPr>
                <w:rFonts w:asciiTheme="majorHAnsi" w:eastAsia="Cambria" w:hAnsiTheme="majorHAnsi" w:cs="Cambria"/>
                <w:sz w:val="20"/>
                <w:szCs w:val="20"/>
              </w:rPr>
              <w:t xml:space="preserve">  </w:t>
            </w:r>
            <w:r w:rsidR="00892DB7" w:rsidRPr="007132EA">
              <w:rPr>
                <w:rFonts w:asciiTheme="majorHAnsi" w:eastAsia="Cambria" w:hAnsiTheme="majorHAnsi" w:cs="Cambria"/>
                <w:sz w:val="20"/>
                <w:szCs w:val="20"/>
              </w:rPr>
              <w:t>16</w:t>
            </w:r>
            <w:r w:rsidR="009400DF" w:rsidRPr="007132EA">
              <w:rPr>
                <w:rFonts w:asciiTheme="majorHAnsi" w:eastAsia="Cambria" w:hAnsiTheme="majorHAnsi" w:cs="Cambria"/>
                <w:sz w:val="20"/>
                <w:szCs w:val="20"/>
              </w:rPr>
              <w:t>.</w:t>
            </w:r>
            <w:r w:rsidR="00B94DC4" w:rsidRPr="007132EA">
              <w:rPr>
                <w:rFonts w:asciiTheme="majorHAnsi" w:eastAsia="Cambria" w:hAnsiTheme="majorHAnsi" w:cs="Cambria"/>
                <w:sz w:val="20"/>
                <w:szCs w:val="20"/>
              </w:rPr>
              <w:t xml:space="preserve"> 10</w:t>
            </w:r>
            <w:r w:rsidR="009400DF" w:rsidRPr="007132EA">
              <w:rPr>
                <w:rFonts w:asciiTheme="majorHAnsi" w:eastAsia="Cambria" w:hAnsiTheme="majorHAnsi" w:cs="Cambria"/>
                <w:sz w:val="20"/>
                <w:szCs w:val="20"/>
              </w:rPr>
              <w:t>.</w:t>
            </w:r>
            <w:r w:rsidR="00B94DC4" w:rsidRPr="007132EA">
              <w:rPr>
                <w:rFonts w:asciiTheme="majorHAnsi" w:eastAsia="Cambria" w:hAnsiTheme="majorHAnsi" w:cs="Cambria"/>
                <w:sz w:val="20"/>
                <w:szCs w:val="20"/>
              </w:rPr>
              <w:t xml:space="preserve"> 2018</w:t>
            </w:r>
          </w:p>
        </w:tc>
      </w:tr>
      <w:tr w:rsidR="00244D79" w:rsidRPr="007132EA" w:rsidTr="007132EA">
        <w:trPr>
          <w:trHeight w:val="237"/>
        </w:trPr>
        <w:tc>
          <w:tcPr>
            <w:tcW w:w="2268" w:type="dxa"/>
            <w:tcBorders>
              <w:left w:val="single" w:sz="8" w:space="0" w:color="auto"/>
              <w:bottom w:val="single" w:sz="8" w:space="0" w:color="auto"/>
              <w:right w:val="single" w:sz="8" w:space="0" w:color="auto"/>
            </w:tcBorders>
            <w:vAlign w:val="bottom"/>
          </w:tcPr>
          <w:p w:rsidR="00244D79" w:rsidRPr="007132EA" w:rsidRDefault="00244D79">
            <w:pPr>
              <w:rPr>
                <w:rFonts w:asciiTheme="majorHAnsi" w:hAnsiTheme="majorHAnsi"/>
                <w:sz w:val="20"/>
                <w:szCs w:val="20"/>
              </w:rPr>
            </w:pPr>
          </w:p>
        </w:tc>
        <w:tc>
          <w:tcPr>
            <w:tcW w:w="3852" w:type="dxa"/>
            <w:tcBorders>
              <w:bottom w:val="single" w:sz="8" w:space="0" w:color="auto"/>
              <w:right w:val="single" w:sz="8" w:space="0" w:color="auto"/>
            </w:tcBorders>
            <w:vAlign w:val="bottom"/>
          </w:tcPr>
          <w:p w:rsidR="00244D79" w:rsidRPr="007132EA" w:rsidRDefault="00244D79" w:rsidP="007132EA">
            <w:pPr>
              <w:rPr>
                <w:rFonts w:asciiTheme="majorHAnsi" w:hAnsiTheme="majorHAnsi"/>
                <w:sz w:val="20"/>
                <w:szCs w:val="20"/>
              </w:rPr>
            </w:pPr>
          </w:p>
        </w:tc>
      </w:tr>
      <w:tr w:rsidR="00244D79" w:rsidRPr="007132EA" w:rsidTr="007132EA">
        <w:trPr>
          <w:trHeight w:val="245"/>
        </w:trPr>
        <w:tc>
          <w:tcPr>
            <w:tcW w:w="2268" w:type="dxa"/>
            <w:tcBorders>
              <w:left w:val="single" w:sz="8" w:space="0" w:color="auto"/>
              <w:right w:val="single" w:sz="8" w:space="0" w:color="auto"/>
            </w:tcBorders>
            <w:vAlign w:val="bottom"/>
          </w:tcPr>
          <w:p w:rsidR="00244D79" w:rsidRPr="007132EA" w:rsidRDefault="009400DF">
            <w:pPr>
              <w:ind w:left="80"/>
              <w:rPr>
                <w:rFonts w:asciiTheme="majorHAnsi" w:hAnsiTheme="majorHAnsi"/>
                <w:sz w:val="20"/>
                <w:szCs w:val="20"/>
              </w:rPr>
            </w:pPr>
            <w:r w:rsidRPr="007132EA">
              <w:rPr>
                <w:rFonts w:asciiTheme="majorHAnsi" w:eastAsia="Cambria" w:hAnsiTheme="majorHAnsi" w:cs="Cambria"/>
                <w:b/>
                <w:bCs/>
                <w:sz w:val="20"/>
                <w:szCs w:val="20"/>
              </w:rPr>
              <w:t>Platnost od:</w:t>
            </w:r>
          </w:p>
        </w:tc>
        <w:tc>
          <w:tcPr>
            <w:tcW w:w="3852" w:type="dxa"/>
            <w:tcBorders>
              <w:right w:val="single" w:sz="8" w:space="0" w:color="auto"/>
            </w:tcBorders>
            <w:vAlign w:val="bottom"/>
          </w:tcPr>
          <w:p w:rsidR="00244D79" w:rsidRPr="007132EA" w:rsidRDefault="00B57A3D" w:rsidP="007132EA">
            <w:pPr>
              <w:ind w:right="1580"/>
              <w:rPr>
                <w:rFonts w:asciiTheme="majorHAnsi" w:hAnsiTheme="majorHAnsi"/>
                <w:sz w:val="20"/>
                <w:szCs w:val="20"/>
              </w:rPr>
            </w:pPr>
            <w:r w:rsidRPr="007132EA">
              <w:rPr>
                <w:rFonts w:asciiTheme="majorHAnsi" w:eastAsia="Cambria" w:hAnsiTheme="majorHAnsi" w:cs="Cambria"/>
                <w:sz w:val="20"/>
                <w:szCs w:val="20"/>
              </w:rPr>
              <w:t xml:space="preserve">  </w:t>
            </w:r>
            <w:r w:rsidR="009400DF" w:rsidRPr="007132EA">
              <w:rPr>
                <w:rFonts w:asciiTheme="majorHAnsi" w:eastAsia="Cambria" w:hAnsiTheme="majorHAnsi" w:cs="Cambria"/>
                <w:sz w:val="20"/>
                <w:szCs w:val="20"/>
              </w:rPr>
              <w:t>AR 201</w:t>
            </w:r>
            <w:r w:rsidR="00B94DC4" w:rsidRPr="007132EA">
              <w:rPr>
                <w:rFonts w:asciiTheme="majorHAnsi" w:eastAsia="Cambria" w:hAnsiTheme="majorHAnsi" w:cs="Cambria"/>
                <w:sz w:val="20"/>
                <w:szCs w:val="20"/>
              </w:rPr>
              <w:t>8</w:t>
            </w:r>
            <w:r w:rsidR="009400DF" w:rsidRPr="007132EA">
              <w:rPr>
                <w:rFonts w:asciiTheme="majorHAnsi" w:eastAsia="Cambria" w:hAnsiTheme="majorHAnsi" w:cs="Cambria"/>
                <w:sz w:val="20"/>
                <w:szCs w:val="20"/>
              </w:rPr>
              <w:t>/201</w:t>
            </w:r>
            <w:r w:rsidR="00B94DC4" w:rsidRPr="007132EA">
              <w:rPr>
                <w:rFonts w:asciiTheme="majorHAnsi" w:eastAsia="Cambria" w:hAnsiTheme="majorHAnsi" w:cs="Cambria"/>
                <w:sz w:val="20"/>
                <w:szCs w:val="20"/>
              </w:rPr>
              <w:t>9</w:t>
            </w:r>
          </w:p>
        </w:tc>
      </w:tr>
      <w:tr w:rsidR="007132EA" w:rsidRPr="007132EA" w:rsidTr="007132EA">
        <w:trPr>
          <w:trHeight w:val="95"/>
        </w:trPr>
        <w:tc>
          <w:tcPr>
            <w:tcW w:w="2268" w:type="dxa"/>
            <w:tcBorders>
              <w:left w:val="single" w:sz="8" w:space="0" w:color="auto"/>
              <w:bottom w:val="single" w:sz="4" w:space="0" w:color="auto"/>
              <w:right w:val="single" w:sz="8" w:space="0" w:color="auto"/>
            </w:tcBorders>
            <w:vAlign w:val="bottom"/>
          </w:tcPr>
          <w:p w:rsidR="007132EA" w:rsidRPr="007132EA" w:rsidRDefault="007132EA">
            <w:pPr>
              <w:ind w:left="80"/>
              <w:rPr>
                <w:rFonts w:asciiTheme="majorHAnsi" w:eastAsia="Cambria" w:hAnsiTheme="majorHAnsi" w:cs="Cambria"/>
                <w:b/>
                <w:bCs/>
                <w:sz w:val="20"/>
                <w:szCs w:val="20"/>
              </w:rPr>
            </w:pPr>
          </w:p>
        </w:tc>
        <w:tc>
          <w:tcPr>
            <w:tcW w:w="3852" w:type="dxa"/>
            <w:tcBorders>
              <w:bottom w:val="single" w:sz="4" w:space="0" w:color="auto"/>
              <w:right w:val="single" w:sz="8" w:space="0" w:color="auto"/>
            </w:tcBorders>
            <w:vAlign w:val="bottom"/>
          </w:tcPr>
          <w:p w:rsidR="007132EA" w:rsidRPr="007132EA" w:rsidRDefault="007132EA" w:rsidP="007132EA">
            <w:pPr>
              <w:ind w:right="1580"/>
              <w:rPr>
                <w:rFonts w:asciiTheme="majorHAnsi" w:eastAsia="Cambria" w:hAnsiTheme="majorHAnsi" w:cs="Cambria"/>
                <w:sz w:val="20"/>
                <w:szCs w:val="20"/>
              </w:rPr>
            </w:pPr>
          </w:p>
        </w:tc>
      </w:tr>
      <w:tr w:rsidR="007132EA" w:rsidRPr="007132EA" w:rsidTr="007132EA">
        <w:trPr>
          <w:trHeight w:val="135"/>
        </w:trPr>
        <w:tc>
          <w:tcPr>
            <w:tcW w:w="2268" w:type="dxa"/>
            <w:tcBorders>
              <w:top w:val="single" w:sz="4" w:space="0" w:color="auto"/>
              <w:left w:val="single" w:sz="8" w:space="0" w:color="auto"/>
              <w:right w:val="single" w:sz="8" w:space="0" w:color="auto"/>
            </w:tcBorders>
            <w:vAlign w:val="bottom"/>
          </w:tcPr>
          <w:p w:rsidR="007132EA" w:rsidRPr="007132EA" w:rsidRDefault="007132EA">
            <w:pPr>
              <w:ind w:left="80"/>
              <w:rPr>
                <w:rFonts w:asciiTheme="majorHAnsi" w:eastAsia="Cambria" w:hAnsiTheme="majorHAnsi" w:cs="Cambria"/>
                <w:b/>
                <w:bCs/>
                <w:sz w:val="20"/>
                <w:szCs w:val="20"/>
              </w:rPr>
            </w:pPr>
            <w:r w:rsidRPr="007132EA">
              <w:rPr>
                <w:rFonts w:asciiTheme="majorHAnsi" w:eastAsia="Cambria" w:hAnsiTheme="majorHAnsi" w:cs="Cambria"/>
                <w:b/>
                <w:bCs/>
                <w:sz w:val="20"/>
                <w:szCs w:val="20"/>
              </w:rPr>
              <w:t xml:space="preserve">Platnost </w:t>
            </w:r>
            <w:proofErr w:type="gramStart"/>
            <w:r w:rsidRPr="007132EA">
              <w:rPr>
                <w:rFonts w:asciiTheme="majorHAnsi" w:eastAsia="Cambria" w:hAnsiTheme="majorHAnsi" w:cs="Cambria"/>
                <w:b/>
                <w:bCs/>
                <w:sz w:val="20"/>
                <w:szCs w:val="20"/>
              </w:rPr>
              <w:t>do</w:t>
            </w:r>
            <w:proofErr w:type="gramEnd"/>
            <w:r w:rsidRPr="007132EA">
              <w:rPr>
                <w:rFonts w:asciiTheme="majorHAnsi" w:eastAsia="Cambria" w:hAnsiTheme="majorHAnsi" w:cs="Cambria"/>
                <w:b/>
                <w:bCs/>
                <w:sz w:val="20"/>
                <w:szCs w:val="20"/>
              </w:rPr>
              <w:t>:</w:t>
            </w:r>
          </w:p>
        </w:tc>
        <w:tc>
          <w:tcPr>
            <w:tcW w:w="3852" w:type="dxa"/>
            <w:tcBorders>
              <w:top w:val="single" w:sz="4" w:space="0" w:color="auto"/>
              <w:right w:val="single" w:sz="8" w:space="0" w:color="auto"/>
            </w:tcBorders>
            <w:vAlign w:val="bottom"/>
          </w:tcPr>
          <w:p w:rsidR="007132EA" w:rsidRPr="007132EA" w:rsidRDefault="007132EA" w:rsidP="007132EA">
            <w:pPr>
              <w:ind w:right="1580"/>
              <w:rPr>
                <w:rFonts w:asciiTheme="majorHAnsi" w:eastAsia="Cambria" w:hAnsiTheme="majorHAnsi" w:cs="Cambria"/>
                <w:sz w:val="20"/>
                <w:szCs w:val="20"/>
              </w:rPr>
            </w:pPr>
            <w:r w:rsidRPr="007132EA">
              <w:rPr>
                <w:rFonts w:asciiTheme="majorHAnsi" w:eastAsia="Cambria" w:hAnsiTheme="majorHAnsi" w:cs="Cambria"/>
                <w:sz w:val="20"/>
                <w:szCs w:val="20"/>
              </w:rPr>
              <w:t xml:space="preserve">  Odvolání</w:t>
            </w:r>
          </w:p>
        </w:tc>
      </w:tr>
      <w:tr w:rsidR="00244D79" w:rsidRPr="007132EA" w:rsidTr="007132EA">
        <w:trPr>
          <w:trHeight w:val="258"/>
        </w:trPr>
        <w:tc>
          <w:tcPr>
            <w:tcW w:w="2268" w:type="dxa"/>
            <w:tcBorders>
              <w:left w:val="single" w:sz="8" w:space="0" w:color="auto"/>
              <w:bottom w:val="single" w:sz="8" w:space="0" w:color="auto"/>
              <w:right w:val="single" w:sz="8" w:space="0" w:color="auto"/>
            </w:tcBorders>
            <w:vAlign w:val="bottom"/>
          </w:tcPr>
          <w:p w:rsidR="00244D79" w:rsidRPr="007132EA" w:rsidRDefault="00244D79">
            <w:pPr>
              <w:rPr>
                <w:rFonts w:asciiTheme="majorHAnsi" w:hAnsiTheme="majorHAnsi"/>
              </w:rPr>
            </w:pPr>
          </w:p>
        </w:tc>
        <w:tc>
          <w:tcPr>
            <w:tcW w:w="3852" w:type="dxa"/>
            <w:tcBorders>
              <w:bottom w:val="single" w:sz="8" w:space="0" w:color="auto"/>
              <w:right w:val="single" w:sz="8" w:space="0" w:color="auto"/>
            </w:tcBorders>
            <w:vAlign w:val="bottom"/>
          </w:tcPr>
          <w:p w:rsidR="00244D79" w:rsidRPr="007132EA" w:rsidRDefault="00244D79" w:rsidP="007132EA">
            <w:pPr>
              <w:rPr>
                <w:rFonts w:asciiTheme="majorHAnsi" w:hAnsiTheme="majorHAnsi"/>
              </w:rPr>
            </w:pPr>
          </w:p>
        </w:tc>
      </w:tr>
    </w:tbl>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244D79" w:rsidRPr="007132EA" w:rsidRDefault="00244D79">
      <w:pPr>
        <w:spacing w:line="200" w:lineRule="exact"/>
        <w:rPr>
          <w:rFonts w:asciiTheme="majorHAnsi" w:hAnsiTheme="majorHAnsi"/>
          <w:sz w:val="24"/>
          <w:szCs w:val="24"/>
        </w:rPr>
      </w:pPr>
    </w:p>
    <w:p w:rsidR="007132EA" w:rsidRDefault="007132EA">
      <w:pPr>
        <w:rPr>
          <w:rFonts w:asciiTheme="majorHAnsi" w:hAnsiTheme="majorHAnsi"/>
          <w:sz w:val="24"/>
          <w:szCs w:val="24"/>
        </w:rPr>
      </w:pPr>
      <w:r>
        <w:rPr>
          <w:rFonts w:asciiTheme="majorHAnsi" w:hAnsiTheme="majorHAnsi"/>
          <w:sz w:val="24"/>
          <w:szCs w:val="24"/>
        </w:rPr>
        <w:br w:type="page"/>
      </w:r>
    </w:p>
    <w:p w:rsidR="00244D79" w:rsidRPr="007132EA" w:rsidRDefault="00244D79">
      <w:pPr>
        <w:rPr>
          <w:rFonts w:asciiTheme="majorHAnsi" w:hAnsiTheme="majorHAnsi"/>
        </w:rPr>
        <w:sectPr w:rsidR="00244D79" w:rsidRPr="007132EA" w:rsidSect="00D73593">
          <w:headerReference w:type="default" r:id="rId8"/>
          <w:footerReference w:type="default" r:id="rId9"/>
          <w:pgSz w:w="11900" w:h="16838"/>
          <w:pgMar w:top="907" w:right="886" w:bottom="0" w:left="1060" w:header="0" w:footer="360" w:gutter="0"/>
          <w:cols w:space="708" w:equalWidth="0">
            <w:col w:w="9960"/>
          </w:cols>
        </w:sectPr>
      </w:pPr>
    </w:p>
    <w:p w:rsidR="00244D79" w:rsidRPr="007D0064" w:rsidRDefault="009400DF" w:rsidP="007168F9">
      <w:pPr>
        <w:ind w:left="7"/>
        <w:rPr>
          <w:rFonts w:asciiTheme="majorHAnsi" w:hAnsiTheme="majorHAnsi"/>
          <w:sz w:val="28"/>
          <w:szCs w:val="28"/>
        </w:rPr>
      </w:pPr>
      <w:bookmarkStart w:id="1" w:name="page2"/>
      <w:bookmarkEnd w:id="1"/>
      <w:r w:rsidRPr="007D0064">
        <w:rPr>
          <w:rFonts w:asciiTheme="majorHAnsi" w:eastAsia="Cambria" w:hAnsiTheme="majorHAnsi"/>
          <w:b/>
          <w:bCs/>
          <w:sz w:val="28"/>
          <w:szCs w:val="28"/>
          <w:u w:val="single"/>
        </w:rPr>
        <w:lastRenderedPageBreak/>
        <w:t>Tematické okruhy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Šíření tepla konstrukcí (nejnižší povrchová teplota, součinitel prostupu tepla, průměrný součinitel prostupu tepla, lineární a bodový činitel prostupu tepla, pokles do</w:t>
      </w:r>
      <w:bookmarkStart w:id="2" w:name="_GoBack"/>
      <w:bookmarkEnd w:id="2"/>
      <w:r w:rsidRPr="007132EA">
        <w:rPr>
          <w:rFonts w:asciiTheme="majorHAnsi" w:hAnsiTheme="majorHAnsi"/>
          <w:color w:val="000000"/>
          <w:sz w:val="22"/>
          <w:szCs w:val="22"/>
        </w:rPr>
        <w:t>tykové teploty)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Šíření vlhkosti konstrukcí (kondenzace vodní páry uvnitř konstrukce, roční bilance kondenzace a vypařování vodní páry uvnitř konstrukce)</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Šíření vzduchu konstrukcí a budovou (průvzdušnost, větrání místností)</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Tepelná stabilita místností (v zimním a letním období)</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Ukazatele energetické náročnosti budovy (primární energie za rok, neobnovitelná primární energie, celková dodaná energie, dílčí dodané energie pro technické systémy vytápění, chlazení, větrání, úpravu vlhkosti vzduchu, přípravu teplé vody a osvětlení, průměrný součinitel prostupu tepla, součinitele prostupu tepla jednotlivých konstrukcí, účinnost technických systémů)</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 xml:space="preserve">Denní osvětlení (zásady navrhování a posuzování osvětlení místností, stanovení činitele denní osvětlenosti, </w:t>
      </w:r>
      <w:proofErr w:type="spellStart"/>
      <w:r w:rsidRPr="007132EA">
        <w:rPr>
          <w:rFonts w:asciiTheme="majorHAnsi" w:hAnsiTheme="majorHAnsi"/>
          <w:color w:val="000000"/>
          <w:sz w:val="22"/>
          <w:szCs w:val="22"/>
        </w:rPr>
        <w:t>Daniljukova</w:t>
      </w:r>
      <w:proofErr w:type="spellEnd"/>
      <w:r w:rsidRPr="007132EA">
        <w:rPr>
          <w:rFonts w:asciiTheme="majorHAnsi" w:hAnsiTheme="majorHAnsi"/>
          <w:color w:val="000000"/>
          <w:sz w:val="22"/>
          <w:szCs w:val="22"/>
        </w:rPr>
        <w:t xml:space="preserve"> metoda, oslunění, metody stanovení oslunění)</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Akustika (základy, akustiky, šíření hluku ve venkovním a vnitřním prostředí, prostorová akustika)</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Stavební akustika (kročejová a vzduchová neprůzvučnost, šíření hluku a vibrací konstrukcí, detaily)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 xml:space="preserve">Tepelně-vlhkostní mikroklima (rovnoměrná, nerovnoměrná tepelně-vlhkostní složka v </w:t>
      </w:r>
      <w:proofErr w:type="gramStart"/>
      <w:r w:rsidRPr="007132EA">
        <w:rPr>
          <w:rFonts w:asciiTheme="majorHAnsi" w:hAnsiTheme="majorHAnsi"/>
          <w:color w:val="000000"/>
          <w:sz w:val="22"/>
          <w:szCs w:val="22"/>
        </w:rPr>
        <w:t>prostore</w:t>
      </w:r>
      <w:proofErr w:type="gramEnd"/>
      <w:r w:rsidRPr="007132EA">
        <w:rPr>
          <w:rFonts w:asciiTheme="majorHAnsi" w:hAnsiTheme="majorHAnsi"/>
          <w:color w:val="000000"/>
          <w:sz w:val="22"/>
          <w:szCs w:val="22"/>
        </w:rPr>
        <w:t xml:space="preserve"> a čase, fyzikální, chemická termoregulace, rovnice tepelné pohody / rovnováhy, součinitel radiační pohody)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Kategorie vnitřního prostředí dle ČSN 15251 (kritéria pro málo a velmi málo znečištěné budovy, index PMV-PPD, intenzita výměny vzduchu na zředění emisí od uživatelů, intenzity větrání pro emise z budovy, doporučená kritéria koncentrace CO2)</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 xml:space="preserve">Těkavé organické látky v budovách - indikátor </w:t>
      </w:r>
      <w:proofErr w:type="spellStart"/>
      <w:r w:rsidRPr="007132EA">
        <w:rPr>
          <w:rFonts w:asciiTheme="majorHAnsi" w:hAnsiTheme="majorHAnsi"/>
          <w:color w:val="000000"/>
          <w:sz w:val="22"/>
          <w:szCs w:val="22"/>
        </w:rPr>
        <w:t>odérového</w:t>
      </w:r>
      <w:proofErr w:type="spellEnd"/>
      <w:r w:rsidRPr="007132EA">
        <w:rPr>
          <w:rFonts w:asciiTheme="majorHAnsi" w:hAnsiTheme="majorHAnsi"/>
          <w:color w:val="000000"/>
          <w:sz w:val="22"/>
          <w:szCs w:val="22"/>
        </w:rPr>
        <w:t xml:space="preserve"> a chemického znečištění ve vazbě na stavební materiály, konstrukce a systémy TZB (charakteristika </w:t>
      </w:r>
      <w:proofErr w:type="spellStart"/>
      <w:r w:rsidRPr="007132EA">
        <w:rPr>
          <w:rFonts w:asciiTheme="majorHAnsi" w:hAnsiTheme="majorHAnsi"/>
          <w:color w:val="000000"/>
          <w:sz w:val="22"/>
          <w:szCs w:val="22"/>
        </w:rPr>
        <w:t>VOCs</w:t>
      </w:r>
      <w:proofErr w:type="spellEnd"/>
      <w:r w:rsidRPr="007132EA">
        <w:rPr>
          <w:rFonts w:asciiTheme="majorHAnsi" w:hAnsiTheme="majorHAnsi"/>
          <w:color w:val="000000"/>
          <w:sz w:val="22"/>
          <w:szCs w:val="22"/>
        </w:rPr>
        <w:t xml:space="preserve">, účinky </w:t>
      </w:r>
      <w:proofErr w:type="spellStart"/>
      <w:r w:rsidRPr="007132EA">
        <w:rPr>
          <w:rFonts w:asciiTheme="majorHAnsi" w:hAnsiTheme="majorHAnsi"/>
          <w:color w:val="000000"/>
          <w:sz w:val="22"/>
          <w:szCs w:val="22"/>
        </w:rPr>
        <w:t>VOCs</w:t>
      </w:r>
      <w:proofErr w:type="spellEnd"/>
      <w:r w:rsidRPr="007132EA">
        <w:rPr>
          <w:rFonts w:asciiTheme="majorHAnsi" w:hAnsiTheme="majorHAnsi"/>
          <w:color w:val="000000"/>
          <w:sz w:val="22"/>
          <w:szCs w:val="22"/>
        </w:rPr>
        <w:t xml:space="preserve">, zdroje, intenzita větrání pro znečištění od emisí TVOC z budov, filtrace vzduchu, fotokatalytická oxidace, neutralizace ionizovaným ozónem, </w:t>
      </w:r>
      <w:proofErr w:type="spellStart"/>
      <w:r w:rsidRPr="007132EA">
        <w:rPr>
          <w:rFonts w:asciiTheme="majorHAnsi" w:hAnsiTheme="majorHAnsi"/>
          <w:color w:val="000000"/>
          <w:sz w:val="22"/>
          <w:szCs w:val="22"/>
        </w:rPr>
        <w:t>deodorizace</w:t>
      </w:r>
      <w:proofErr w:type="spellEnd"/>
      <w:r w:rsidRPr="007132EA">
        <w:rPr>
          <w:rFonts w:asciiTheme="majorHAnsi" w:hAnsiTheme="majorHAnsi"/>
          <w:color w:val="000000"/>
          <w:sz w:val="22"/>
          <w:szCs w:val="22"/>
        </w:rPr>
        <w:t>)</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Tuhé částice ve vnitřním prostředí budov (aerodynamický průměr částic, PM10, PM 2,5 hmotnostní koncentrace, početní koncentrace, vlastnosti tuhých částic, zdroje, optimalizace výskytu tuhých částic)</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Radon ve vnitřním prostředí budov (zdroje radonu v budovách, objemová a hmotnostní aktivita radioaktívní látky, ekvivalentní objemová aktivita radonu, rovnovážný faktor F, protiradonová opatření)</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Budovy s téměř nulovou spotřebou energie (budova s téměř nulovou spotřebou energie, legislativa EU a ČR, nákladově optimální úroveň)</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Zelená architektura a trvale udržitelný rozvoj (hlavní důvody vzniku a základní principy TUR, Agenda 21, Agenda 2030, environmentální architektura, zelená budova)</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lastRenderedPageBreak/>
        <w:t>Energetická bilance a kategorie budov s nízkou spotřebou energie (primární energie, bilanční schéma, kategorie budov dle roční měrné potřeby tepla na vytápění, nízkoenergetické domy, pasivní domy, energeticky nulové domy, požadavky dle ČSN 730540 – 2 (2011), autonomní domy)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Koncepce navrhování nízkoenergetických a pasivních (volba lokality výstavby, osazení budovy do terénu, orientace budovy ke světovým stranám, zastínění budovy, převládající směr větru, tvarové řešení budovy, vyloučení tepelných mostů, vnitřní uspořádání dispozice objektu, velikost prosklených ploch)</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 xml:space="preserve">Stavební a konstrukční řešení nízkoenergetických a pasivních domů (zásady návrhu konstrukcí, progresivní technologie a řešení pro spodní stavbu, obvodové konstrukce, střešní konstrukce, izolační systémy a okenní výplně, </w:t>
      </w:r>
      <w:proofErr w:type="spellStart"/>
      <w:r w:rsidRPr="007132EA">
        <w:rPr>
          <w:rFonts w:asciiTheme="majorHAnsi" w:hAnsiTheme="majorHAnsi"/>
          <w:color w:val="000000"/>
          <w:sz w:val="22"/>
          <w:szCs w:val="22"/>
        </w:rPr>
        <w:t>high-tech</w:t>
      </w:r>
      <w:proofErr w:type="spellEnd"/>
      <w:r w:rsidRPr="007132EA">
        <w:rPr>
          <w:rFonts w:asciiTheme="majorHAnsi" w:hAnsiTheme="majorHAnsi"/>
          <w:color w:val="000000"/>
          <w:sz w:val="22"/>
          <w:szCs w:val="22"/>
        </w:rPr>
        <w:t xml:space="preserve"> materiály, vzduchotěsnost stavebních konstrukcí)</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 xml:space="preserve">Technické soustavy v nízkoenergetických a pasivních budovách (zdroje elektrické energie – </w:t>
      </w:r>
      <w:proofErr w:type="spellStart"/>
      <w:r w:rsidRPr="007132EA">
        <w:rPr>
          <w:rFonts w:asciiTheme="majorHAnsi" w:hAnsiTheme="majorHAnsi"/>
          <w:color w:val="000000"/>
          <w:sz w:val="22"/>
          <w:szCs w:val="22"/>
        </w:rPr>
        <w:t>fotovoltaické</w:t>
      </w:r>
      <w:proofErr w:type="spellEnd"/>
      <w:r w:rsidRPr="007132EA">
        <w:rPr>
          <w:rFonts w:asciiTheme="majorHAnsi" w:hAnsiTheme="majorHAnsi"/>
          <w:color w:val="000000"/>
          <w:sz w:val="22"/>
          <w:szCs w:val="22"/>
        </w:rPr>
        <w:t xml:space="preserve"> systémy, větrné elektrárny, </w:t>
      </w:r>
      <w:proofErr w:type="spellStart"/>
      <w:r w:rsidRPr="007132EA">
        <w:rPr>
          <w:rFonts w:asciiTheme="majorHAnsi" w:hAnsiTheme="majorHAnsi"/>
          <w:color w:val="000000"/>
          <w:sz w:val="22"/>
          <w:szCs w:val="22"/>
        </w:rPr>
        <w:t>mikrokogenerace</w:t>
      </w:r>
      <w:proofErr w:type="spellEnd"/>
      <w:r w:rsidRPr="007132EA">
        <w:rPr>
          <w:rFonts w:asciiTheme="majorHAnsi" w:hAnsiTheme="majorHAnsi"/>
          <w:color w:val="000000"/>
          <w:sz w:val="22"/>
          <w:szCs w:val="22"/>
        </w:rPr>
        <w:t>, akumulace, zdroje tepla k vytápění a ohřevu teplé vody - solární tepelné soustavy, tepelná čerpadla, kotle na spalování biopaliv, chlazení, klimatizační a větrací soustavy, otopné soustavy, příprava teplé vody, zpětné získávání tepla)</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Vnitřní vodovod (zdroje, vlastnosti a úprava vody, potřeba vody-výpočty, zásady projektování vnitřních rozvodů vody, vodovodní armatury, zařizovací předměty – osazování, vzájemná poloha, materiálové možnosti, výhody a nevýhody)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Kanalizace (odpadní vody – druhy, splaškové odpadní vody, dešťové vody – výpočet množství, stokové sítě, objekty na stokových sítích, požadavky na kanalizační přípojku, bezpečná vzdálenost, světlost, sklon, dimenzování kanalizačního potrubí, malé čistírny odpadních vod – druhy a způsoby čištění, účinnost)</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Navrhování otopných soustav (energetické výpočty, druhy otopných soustav, otopná tělesa, armatury, materiály potrubních rozvodů, kotelny, komíny)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Větrání (princip a druhy přirozeného větrání, princip a druhy nuceného větrání, prvky vzduchotechnických systémů, schéma, názvosloví, stanovení průtoku pro větrání, potrubí, materiál, tvar, příslušenství, skladba vzduchotechnické jednotky</w:t>
      </w:r>
    </w:p>
    <w:p w:rsidR="007168F9" w:rsidRPr="007132EA" w:rsidRDefault="007168F9" w:rsidP="007132EA">
      <w:pPr>
        <w:pStyle w:val="Normlnweb"/>
        <w:numPr>
          <w:ilvl w:val="0"/>
          <w:numId w:val="6"/>
        </w:numPr>
        <w:spacing w:after="200" w:afterAutospacing="0"/>
        <w:ind w:left="426" w:hanging="426"/>
        <w:jc w:val="both"/>
        <w:rPr>
          <w:rFonts w:asciiTheme="majorHAnsi" w:hAnsiTheme="majorHAnsi"/>
          <w:color w:val="000000"/>
          <w:sz w:val="22"/>
          <w:szCs w:val="22"/>
        </w:rPr>
      </w:pPr>
      <w:r w:rsidRPr="007132EA">
        <w:rPr>
          <w:rFonts w:asciiTheme="majorHAnsi" w:hAnsiTheme="majorHAnsi"/>
          <w:color w:val="000000"/>
          <w:sz w:val="22"/>
          <w:szCs w:val="22"/>
        </w:rPr>
        <w:t xml:space="preserve">Klimatizace (tepelná zátěž z venkovního prostředí, tepelná zátěž od vnitřních zdrojů, systém výpočtu tepelné zátěže, vodní systémy s </w:t>
      </w:r>
      <w:proofErr w:type="spellStart"/>
      <w:r w:rsidRPr="007132EA">
        <w:rPr>
          <w:rFonts w:asciiTheme="majorHAnsi" w:hAnsiTheme="majorHAnsi"/>
          <w:color w:val="000000"/>
          <w:sz w:val="22"/>
          <w:szCs w:val="22"/>
        </w:rPr>
        <w:t>fancoily</w:t>
      </w:r>
      <w:proofErr w:type="spellEnd"/>
      <w:r w:rsidRPr="007132EA">
        <w:rPr>
          <w:rFonts w:asciiTheme="majorHAnsi" w:hAnsiTheme="majorHAnsi"/>
          <w:color w:val="000000"/>
          <w:sz w:val="22"/>
          <w:szCs w:val="22"/>
        </w:rPr>
        <w:t>, chladivový SPLIT systém)</w:t>
      </w:r>
    </w:p>
    <w:p w:rsidR="00892DB7" w:rsidRPr="007132EA" w:rsidRDefault="00892DB7" w:rsidP="00D73593">
      <w:pPr>
        <w:ind w:left="7"/>
        <w:rPr>
          <w:rFonts w:asciiTheme="majorHAnsi" w:eastAsia="Cambria" w:hAnsiTheme="majorHAnsi"/>
          <w:sz w:val="24"/>
          <w:szCs w:val="24"/>
        </w:rPr>
      </w:pPr>
    </w:p>
    <w:p w:rsidR="00892DB7" w:rsidRPr="007132EA" w:rsidRDefault="007168F9" w:rsidP="007168F9">
      <w:pPr>
        <w:rPr>
          <w:rFonts w:asciiTheme="majorHAnsi" w:eastAsia="Cambria" w:hAnsiTheme="majorHAnsi"/>
          <w:sz w:val="24"/>
          <w:szCs w:val="24"/>
        </w:rPr>
      </w:pPr>
      <w:r w:rsidRPr="007132EA">
        <w:rPr>
          <w:rFonts w:asciiTheme="majorHAnsi" w:eastAsia="Cambria" w:hAnsiTheme="majorHAnsi"/>
          <w:sz w:val="24"/>
          <w:szCs w:val="24"/>
        </w:rPr>
        <w:br w:type="page"/>
      </w:r>
    </w:p>
    <w:p w:rsidR="00892DB7" w:rsidRPr="007132EA" w:rsidRDefault="00892DB7" w:rsidP="00D73593">
      <w:pPr>
        <w:ind w:left="7"/>
        <w:rPr>
          <w:rFonts w:asciiTheme="majorHAnsi" w:eastAsia="Cambria" w:hAnsiTheme="majorHAnsi"/>
          <w:sz w:val="24"/>
          <w:szCs w:val="24"/>
        </w:rPr>
      </w:pPr>
    </w:p>
    <w:p w:rsidR="00244D79" w:rsidRPr="007132EA" w:rsidRDefault="009400DF" w:rsidP="007168F9">
      <w:pPr>
        <w:ind w:left="7"/>
        <w:rPr>
          <w:rFonts w:asciiTheme="majorHAnsi" w:hAnsiTheme="majorHAnsi"/>
          <w:sz w:val="32"/>
          <w:szCs w:val="32"/>
        </w:rPr>
      </w:pPr>
      <w:r w:rsidRPr="007132EA">
        <w:rPr>
          <w:rFonts w:asciiTheme="majorHAnsi" w:eastAsia="Cambria" w:hAnsiTheme="majorHAnsi"/>
          <w:b/>
          <w:bCs/>
          <w:sz w:val="32"/>
          <w:szCs w:val="32"/>
          <w:u w:val="single"/>
        </w:rPr>
        <w:t>Doporučená literatura</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BOŠOVÁ, Daniela a Lenka PROKOPOVÁ. Stavební fyzika I: osvětlení, oslunění, akustika budov. Praha: České vysoké učení technické v Praze, 2017. ISBN 978-80-01-06130-5.</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 xml:space="preserve">BOŠOVÁ, Daniela a František KULHÁNEK. Stavební fyzika II: stavební tepelná technika. 6., </w:t>
      </w:r>
      <w:proofErr w:type="spellStart"/>
      <w:r w:rsidRPr="007132EA">
        <w:rPr>
          <w:rFonts w:asciiTheme="majorHAnsi" w:hAnsiTheme="majorHAnsi"/>
          <w:color w:val="000000"/>
          <w:sz w:val="22"/>
          <w:szCs w:val="22"/>
        </w:rPr>
        <w:t>přeprac</w:t>
      </w:r>
      <w:proofErr w:type="spellEnd"/>
      <w:r w:rsidRPr="007132EA">
        <w:rPr>
          <w:rFonts w:asciiTheme="majorHAnsi" w:hAnsiTheme="majorHAnsi"/>
          <w:color w:val="000000"/>
          <w:sz w:val="22"/>
          <w:szCs w:val="22"/>
        </w:rPr>
        <w:t>. vyd. V Praze: České vysoké učení technické, 2014. ISBN 978-80-01-05645-5.</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VAVERKA, Jiří. Stavební tepelná technika a energetika budov. Brno: VUTIUM, 2006. ISBN 80-214-2910-0.</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JUHÁSOVÁ ŠENITKOVÁ, Ingrid, Michal KRAUS a Petra NOVÁKOVÁ. Budovy a prostředí: Adresná identifikace, analýza výskytu a metodologie optimalizace vybraných složek vnitřního prostředí budov. České Budějovice: VŠTE v Českých Budějovicích, 2018, 278 s.</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JOKL, Miloslav. Zdravé obytné a pracovní prostředí. Praha: Academia, 2002. ISBN 80-200-0928-0.</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 xml:space="preserve">TYWONIAK, Jan. Nízkoenergetické domy 3: nulové, pasivní a další. Praha: </w:t>
      </w:r>
      <w:proofErr w:type="spellStart"/>
      <w:r w:rsidRPr="007132EA">
        <w:rPr>
          <w:rFonts w:asciiTheme="majorHAnsi" w:hAnsiTheme="majorHAnsi"/>
          <w:color w:val="000000"/>
          <w:sz w:val="22"/>
          <w:szCs w:val="22"/>
        </w:rPr>
        <w:t>Grada</w:t>
      </w:r>
      <w:proofErr w:type="spellEnd"/>
      <w:r w:rsidRPr="007132EA">
        <w:rPr>
          <w:rFonts w:asciiTheme="majorHAnsi" w:hAnsiTheme="majorHAnsi"/>
          <w:color w:val="000000"/>
          <w:sz w:val="22"/>
          <w:szCs w:val="22"/>
        </w:rPr>
        <w:t>, 2012. Stavitel. ISBN 978-80-247-3832-1.</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 xml:space="preserve">TYWONIAK, Jan. Nízkoenergetické domy: principy a příklady. Praha: </w:t>
      </w:r>
      <w:proofErr w:type="spellStart"/>
      <w:r w:rsidRPr="007132EA">
        <w:rPr>
          <w:rFonts w:asciiTheme="majorHAnsi" w:hAnsiTheme="majorHAnsi"/>
          <w:color w:val="000000"/>
          <w:sz w:val="22"/>
          <w:szCs w:val="22"/>
        </w:rPr>
        <w:t>Grada</w:t>
      </w:r>
      <w:proofErr w:type="spellEnd"/>
      <w:r w:rsidRPr="007132EA">
        <w:rPr>
          <w:rFonts w:asciiTheme="majorHAnsi" w:hAnsiTheme="majorHAnsi"/>
          <w:color w:val="000000"/>
          <w:sz w:val="22"/>
          <w:szCs w:val="22"/>
        </w:rPr>
        <w:t>, 2005. Stavitel. ISBN 80-247-1101-X.</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SVATOŠOVÁ, Irena. Technické zařízení budov I. Ostrava: Vysoká škola báňská - Technická univerzita, [2008]. ISBN 978-80-248-1479-7.</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PAPEŽ, Karel. Energetické a ekologické systémy budov 2: vzduchotechnika, chlazení, elektroinstalace a osvětlení. Praha: Nakladatelství ČVUT, 2007. ISBN 978-80-01-03622-8.</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 xml:space="preserve">VRÁNA, Jakub. Technická zařízení budov v praxi: [příručka pro stavaře]. Praha: </w:t>
      </w:r>
      <w:proofErr w:type="spellStart"/>
      <w:r w:rsidRPr="007132EA">
        <w:rPr>
          <w:rFonts w:asciiTheme="majorHAnsi" w:hAnsiTheme="majorHAnsi"/>
          <w:color w:val="000000"/>
          <w:sz w:val="22"/>
          <w:szCs w:val="22"/>
        </w:rPr>
        <w:t>Grada</w:t>
      </w:r>
      <w:proofErr w:type="spellEnd"/>
      <w:r w:rsidRPr="007132EA">
        <w:rPr>
          <w:rFonts w:asciiTheme="majorHAnsi" w:hAnsiTheme="majorHAnsi"/>
          <w:color w:val="000000"/>
          <w:sz w:val="22"/>
          <w:szCs w:val="22"/>
        </w:rPr>
        <w:t>, 2007. Stavitel. ISBN 978-80-247-1588-9.</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 xml:space="preserve">DUFKA, Jaroslav. Vytápění domů a bytů. 2., zcela </w:t>
      </w:r>
      <w:proofErr w:type="spellStart"/>
      <w:r w:rsidRPr="007132EA">
        <w:rPr>
          <w:rFonts w:asciiTheme="majorHAnsi" w:hAnsiTheme="majorHAnsi"/>
          <w:color w:val="000000"/>
          <w:sz w:val="22"/>
          <w:szCs w:val="22"/>
        </w:rPr>
        <w:t>přeprac</w:t>
      </w:r>
      <w:proofErr w:type="spellEnd"/>
      <w:r w:rsidRPr="007132EA">
        <w:rPr>
          <w:rFonts w:asciiTheme="majorHAnsi" w:hAnsiTheme="majorHAnsi"/>
          <w:color w:val="000000"/>
          <w:sz w:val="22"/>
          <w:szCs w:val="22"/>
        </w:rPr>
        <w:t xml:space="preserve">. vyd. Praha: </w:t>
      </w:r>
      <w:proofErr w:type="spellStart"/>
      <w:r w:rsidRPr="007132EA">
        <w:rPr>
          <w:rFonts w:asciiTheme="majorHAnsi" w:hAnsiTheme="majorHAnsi"/>
          <w:color w:val="000000"/>
          <w:sz w:val="22"/>
          <w:szCs w:val="22"/>
        </w:rPr>
        <w:t>Grada</w:t>
      </w:r>
      <w:proofErr w:type="spellEnd"/>
      <w:r w:rsidRPr="007132EA">
        <w:rPr>
          <w:rFonts w:asciiTheme="majorHAnsi" w:hAnsiTheme="majorHAnsi"/>
          <w:color w:val="000000"/>
          <w:sz w:val="22"/>
          <w:szCs w:val="22"/>
        </w:rPr>
        <w:t xml:space="preserve">, 2004. </w:t>
      </w:r>
      <w:proofErr w:type="spellStart"/>
      <w:r w:rsidRPr="007132EA">
        <w:rPr>
          <w:rFonts w:asciiTheme="majorHAnsi" w:hAnsiTheme="majorHAnsi"/>
          <w:color w:val="000000"/>
          <w:sz w:val="22"/>
          <w:szCs w:val="22"/>
        </w:rPr>
        <w:t>Profi</w:t>
      </w:r>
      <w:proofErr w:type="spellEnd"/>
      <w:r w:rsidRPr="007132EA">
        <w:rPr>
          <w:rFonts w:asciiTheme="majorHAnsi" w:hAnsiTheme="majorHAnsi"/>
          <w:color w:val="000000"/>
          <w:sz w:val="22"/>
          <w:szCs w:val="22"/>
        </w:rPr>
        <w:t xml:space="preserve"> &amp; hobby. ISBN 80-247-0642-3.</w:t>
      </w:r>
    </w:p>
    <w:p w:rsidR="007168F9" w:rsidRPr="007132EA" w:rsidRDefault="007168F9" w:rsidP="007168F9">
      <w:pPr>
        <w:pStyle w:val="Normlnweb"/>
        <w:jc w:val="both"/>
        <w:rPr>
          <w:rFonts w:asciiTheme="majorHAnsi" w:hAnsiTheme="majorHAnsi"/>
          <w:color w:val="000000"/>
          <w:sz w:val="22"/>
          <w:szCs w:val="22"/>
        </w:rPr>
      </w:pPr>
      <w:r w:rsidRPr="007132EA">
        <w:rPr>
          <w:rFonts w:asciiTheme="majorHAnsi" w:hAnsiTheme="majorHAnsi"/>
          <w:color w:val="000000"/>
          <w:sz w:val="22"/>
          <w:szCs w:val="22"/>
        </w:rPr>
        <w:t xml:space="preserve">VRÁNA, Jakub. Voda a kanalizace v domě a v bytě: instalatérské práce. Praha: </w:t>
      </w:r>
      <w:proofErr w:type="spellStart"/>
      <w:r w:rsidRPr="007132EA">
        <w:rPr>
          <w:rFonts w:asciiTheme="majorHAnsi" w:hAnsiTheme="majorHAnsi"/>
          <w:color w:val="000000"/>
          <w:sz w:val="22"/>
          <w:szCs w:val="22"/>
        </w:rPr>
        <w:t>Grada</w:t>
      </w:r>
      <w:proofErr w:type="spellEnd"/>
      <w:r w:rsidRPr="007132EA">
        <w:rPr>
          <w:rFonts w:asciiTheme="majorHAnsi" w:hAnsiTheme="majorHAnsi"/>
          <w:color w:val="000000"/>
          <w:sz w:val="22"/>
          <w:szCs w:val="22"/>
        </w:rPr>
        <w:t xml:space="preserve">, 2005. </w:t>
      </w:r>
      <w:proofErr w:type="spellStart"/>
      <w:r w:rsidRPr="007132EA">
        <w:rPr>
          <w:rFonts w:asciiTheme="majorHAnsi" w:hAnsiTheme="majorHAnsi"/>
          <w:color w:val="000000"/>
          <w:sz w:val="22"/>
          <w:szCs w:val="22"/>
        </w:rPr>
        <w:t>Profi</w:t>
      </w:r>
      <w:proofErr w:type="spellEnd"/>
      <w:r w:rsidRPr="007132EA">
        <w:rPr>
          <w:rFonts w:asciiTheme="majorHAnsi" w:hAnsiTheme="majorHAnsi"/>
          <w:color w:val="000000"/>
          <w:sz w:val="22"/>
          <w:szCs w:val="22"/>
        </w:rPr>
        <w:t xml:space="preserve"> &amp; hobby. ISBN 80-247-0800-0.</w:t>
      </w:r>
    </w:p>
    <w:p w:rsidR="00147275" w:rsidRPr="007132EA" w:rsidRDefault="00147275" w:rsidP="00D73593">
      <w:pPr>
        <w:ind w:left="7"/>
        <w:jc w:val="both"/>
        <w:rPr>
          <w:rFonts w:asciiTheme="majorHAnsi" w:hAnsiTheme="majorHAnsi"/>
          <w:sz w:val="24"/>
          <w:szCs w:val="24"/>
        </w:rPr>
      </w:pPr>
    </w:p>
    <w:sectPr w:rsidR="00147275" w:rsidRPr="007132EA" w:rsidSect="00D73593">
      <w:pgSz w:w="11900" w:h="16838"/>
      <w:pgMar w:top="2977" w:right="1126" w:bottom="0" w:left="1133" w:header="0" w:footer="0" w:gutter="0"/>
      <w:cols w:space="708" w:equalWidth="0">
        <w:col w:w="964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8B" w:rsidRDefault="00FB628B" w:rsidP="00D73593">
      <w:r>
        <w:separator/>
      </w:r>
    </w:p>
  </w:endnote>
  <w:endnote w:type="continuationSeparator" w:id="0">
    <w:p w:rsidR="00FB628B" w:rsidRDefault="00FB628B" w:rsidP="00D7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93" w:rsidRPr="00D73593" w:rsidRDefault="00D73593" w:rsidP="00D73593">
    <w:pPr>
      <w:ind w:right="13"/>
      <w:jc w:val="center"/>
      <w:rPr>
        <w:color w:val="808080" w:themeColor="background1" w:themeShade="80"/>
        <w:sz w:val="20"/>
        <w:szCs w:val="20"/>
      </w:rPr>
    </w:pPr>
    <w:r w:rsidRPr="00D73593">
      <w:rPr>
        <w:rFonts w:ascii="Cambria" w:eastAsia="Cambria" w:hAnsi="Cambria" w:cs="Cambria"/>
        <w:color w:val="808080" w:themeColor="background1" w:themeShade="80"/>
        <w:sz w:val="20"/>
        <w:szCs w:val="20"/>
      </w:rPr>
      <w:t xml:space="preserve">Okružní 10, 370 01 České Budějovice | www.vstecb.cz | is.vstecb.cz | </w:t>
    </w:r>
    <w:r w:rsidR="00B57A3D">
      <w:rPr>
        <w:rFonts w:ascii="Cambria" w:eastAsia="Cambria" w:hAnsi="Cambria" w:cs="Cambria"/>
        <w:color w:val="808080" w:themeColor="background1" w:themeShade="80"/>
        <w:sz w:val="20"/>
        <w:szCs w:val="20"/>
      </w:rPr>
      <w:t>nahlikova</w:t>
    </w:r>
    <w:r w:rsidRPr="00D73593">
      <w:rPr>
        <w:rFonts w:ascii="Cambria" w:eastAsia="Cambria" w:hAnsi="Cambria" w:cs="Cambria"/>
        <w:color w:val="808080" w:themeColor="background1" w:themeShade="80"/>
        <w:sz w:val="20"/>
        <w:szCs w:val="20"/>
      </w:rPr>
      <w:t>@mail.vstecb.cz</w:t>
    </w:r>
  </w:p>
  <w:p w:rsidR="00D73593" w:rsidRDefault="00D73593">
    <w:pPr>
      <w:pStyle w:val="Zpat"/>
    </w:pPr>
  </w:p>
  <w:p w:rsidR="00D73593" w:rsidRDefault="00D735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8B" w:rsidRDefault="00FB628B" w:rsidP="00D73593">
      <w:r>
        <w:separator/>
      </w:r>
    </w:p>
  </w:footnote>
  <w:footnote w:type="continuationSeparator" w:id="0">
    <w:p w:rsidR="00FB628B" w:rsidRDefault="00FB628B" w:rsidP="00D7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93" w:rsidRDefault="00D73593">
    <w:pPr>
      <w:pStyle w:val="Zhlav"/>
    </w:pPr>
  </w:p>
  <w:p w:rsidR="00D73593" w:rsidRDefault="00D73593" w:rsidP="00D73593">
    <w:pPr>
      <w:spacing w:line="235" w:lineRule="auto"/>
      <w:ind w:left="4600" w:right="240"/>
      <w:jc w:val="right"/>
      <w:rPr>
        <w:sz w:val="20"/>
        <w:szCs w:val="20"/>
      </w:rPr>
    </w:pPr>
    <w:bookmarkStart w:id="0" w:name="page1"/>
    <w:bookmarkEnd w:id="0"/>
    <w:r>
      <w:rPr>
        <w:rFonts w:ascii="Calibri" w:eastAsia="Calibri" w:hAnsi="Calibri" w:cs="Calibri"/>
        <w:b/>
        <w:bCs/>
        <w:noProof/>
        <w:color w:val="993333"/>
        <w:sz w:val="28"/>
        <w:szCs w:val="28"/>
      </w:rPr>
      <w:drawing>
        <wp:anchor distT="0" distB="0" distL="114300" distR="114300" simplePos="0" relativeHeight="251659264" behindDoc="1" locked="0" layoutInCell="0" allowOverlap="1" wp14:anchorId="69ACDC59" wp14:editId="278E3D24">
          <wp:simplePos x="0" y="0"/>
          <wp:positionH relativeFrom="page">
            <wp:posOffset>801370</wp:posOffset>
          </wp:positionH>
          <wp:positionV relativeFrom="page">
            <wp:posOffset>227965</wp:posOffset>
          </wp:positionV>
          <wp:extent cx="1038860" cy="105727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038860" cy="1057275"/>
                  </a:xfrm>
                  <a:prstGeom prst="rect">
                    <a:avLst/>
                  </a:prstGeom>
                  <a:noFill/>
                </pic:spPr>
              </pic:pic>
            </a:graphicData>
          </a:graphic>
        </wp:anchor>
      </w:drawing>
    </w:r>
    <w:r>
      <w:rPr>
        <w:rFonts w:ascii="Calibri" w:eastAsia="Calibri" w:hAnsi="Calibri" w:cs="Calibri"/>
        <w:b/>
        <w:bCs/>
        <w:color w:val="993333"/>
        <w:sz w:val="28"/>
        <w:szCs w:val="28"/>
      </w:rPr>
      <w:t>VYSOKÁ ŠKOLA TECHNICKÁ A EKONOMICKÁ V ČESKÝCH BUDĚJOVICÍCH</w:t>
    </w:r>
  </w:p>
  <w:p w:rsidR="00D73593" w:rsidRDefault="00D73593" w:rsidP="00D73593">
    <w:pPr>
      <w:spacing w:line="200" w:lineRule="exact"/>
      <w:rPr>
        <w:sz w:val="24"/>
        <w:szCs w:val="24"/>
      </w:rPr>
    </w:pPr>
  </w:p>
  <w:p w:rsidR="00D73593" w:rsidRDefault="00D73593" w:rsidP="00D73593">
    <w:pPr>
      <w:spacing w:line="246" w:lineRule="exact"/>
      <w:rPr>
        <w:sz w:val="24"/>
        <w:szCs w:val="24"/>
      </w:rPr>
    </w:pPr>
  </w:p>
  <w:p w:rsidR="00D73593" w:rsidRDefault="00D73593" w:rsidP="00D73593">
    <w:pPr>
      <w:spacing w:line="253" w:lineRule="auto"/>
      <w:ind w:left="4678" w:right="240"/>
      <w:jc w:val="right"/>
      <w:rPr>
        <w:rFonts w:ascii="Calibri" w:eastAsia="Calibri" w:hAnsi="Calibri" w:cs="Calibri"/>
        <w:color w:val="993333"/>
        <w:sz w:val="24"/>
        <w:szCs w:val="24"/>
      </w:rPr>
    </w:pPr>
    <w:r>
      <w:rPr>
        <w:rFonts w:ascii="Calibri" w:eastAsia="Calibri" w:hAnsi="Calibri" w:cs="Calibri"/>
        <w:color w:val="993333"/>
        <w:sz w:val="24"/>
        <w:szCs w:val="24"/>
      </w:rPr>
      <w:t xml:space="preserve">Tematické okruhy pro Státní závěrečné zkoušky </w:t>
    </w:r>
  </w:p>
  <w:p w:rsidR="00D73593" w:rsidRDefault="00D73593" w:rsidP="00D73593">
    <w:pPr>
      <w:spacing w:line="253" w:lineRule="auto"/>
      <w:ind w:left="5040" w:right="240"/>
      <w:jc w:val="right"/>
      <w:rPr>
        <w:rFonts w:ascii="Calibri" w:eastAsia="Calibri" w:hAnsi="Calibri" w:cs="Calibri"/>
        <w:color w:val="993333"/>
        <w:sz w:val="24"/>
        <w:szCs w:val="24"/>
      </w:rPr>
    </w:pPr>
    <w:r>
      <w:rPr>
        <w:rFonts w:ascii="Calibri" w:eastAsia="Calibri" w:hAnsi="Calibri" w:cs="Calibri"/>
        <w:color w:val="993333"/>
        <w:sz w:val="24"/>
        <w:szCs w:val="24"/>
      </w:rPr>
      <w:t>obor: Pozemní stavby</w:t>
    </w:r>
  </w:p>
  <w:p w:rsidR="00D73593" w:rsidRDefault="00D73593" w:rsidP="00D73593">
    <w:pPr>
      <w:spacing w:line="253" w:lineRule="auto"/>
      <w:ind w:left="5040" w:right="240"/>
      <w:jc w:val="right"/>
      <w:rPr>
        <w:sz w:val="20"/>
        <w:szCs w:val="20"/>
      </w:rPr>
    </w:pPr>
    <w:r>
      <w:rPr>
        <w:rFonts w:ascii="Calibri" w:eastAsia="Calibri" w:hAnsi="Calibri" w:cs="Calibri"/>
        <w:color w:val="993333"/>
        <w:sz w:val="24"/>
        <w:szCs w:val="24"/>
      </w:rPr>
      <w:t xml:space="preserve"> SZZ: </w:t>
    </w:r>
    <w:r w:rsidR="00892DB7">
      <w:rPr>
        <w:rFonts w:ascii="Calibri" w:eastAsia="Calibri" w:hAnsi="Calibri" w:cs="Calibri"/>
        <w:color w:val="993333"/>
        <w:sz w:val="24"/>
        <w:szCs w:val="24"/>
      </w:rPr>
      <w:t>Budovy a prostředí</w:t>
    </w:r>
  </w:p>
  <w:p w:rsidR="00D73593" w:rsidRDefault="00D735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AFB"/>
    <w:multiLevelType w:val="hybridMultilevel"/>
    <w:tmpl w:val="EEC21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495CFF"/>
    <w:multiLevelType w:val="hybridMultilevel"/>
    <w:tmpl w:val="21D09E58"/>
    <w:lvl w:ilvl="0" w:tplc="023858D0">
      <w:start w:val="20"/>
      <w:numFmt w:val="decimal"/>
      <w:lvlText w:val="%1)"/>
      <w:lvlJc w:val="left"/>
    </w:lvl>
    <w:lvl w:ilvl="1" w:tplc="8140EEB2">
      <w:numFmt w:val="decimal"/>
      <w:lvlText w:val=""/>
      <w:lvlJc w:val="left"/>
    </w:lvl>
    <w:lvl w:ilvl="2" w:tplc="AF3AB1AA">
      <w:numFmt w:val="decimal"/>
      <w:lvlText w:val=""/>
      <w:lvlJc w:val="left"/>
    </w:lvl>
    <w:lvl w:ilvl="3" w:tplc="7B62E318">
      <w:numFmt w:val="decimal"/>
      <w:lvlText w:val=""/>
      <w:lvlJc w:val="left"/>
    </w:lvl>
    <w:lvl w:ilvl="4" w:tplc="9104CBE4">
      <w:numFmt w:val="decimal"/>
      <w:lvlText w:val=""/>
      <w:lvlJc w:val="left"/>
    </w:lvl>
    <w:lvl w:ilvl="5" w:tplc="92DC8830">
      <w:numFmt w:val="decimal"/>
      <w:lvlText w:val=""/>
      <w:lvlJc w:val="left"/>
    </w:lvl>
    <w:lvl w:ilvl="6" w:tplc="0E3EE470">
      <w:numFmt w:val="decimal"/>
      <w:lvlText w:val=""/>
      <w:lvlJc w:val="left"/>
    </w:lvl>
    <w:lvl w:ilvl="7" w:tplc="17C2AEEE">
      <w:numFmt w:val="decimal"/>
      <w:lvlText w:val=""/>
      <w:lvlJc w:val="left"/>
    </w:lvl>
    <w:lvl w:ilvl="8" w:tplc="5B5410EA">
      <w:numFmt w:val="decimal"/>
      <w:lvlText w:val=""/>
      <w:lvlJc w:val="left"/>
    </w:lvl>
  </w:abstractNum>
  <w:abstractNum w:abstractNumId="2">
    <w:nsid w:val="44C32024"/>
    <w:multiLevelType w:val="hybridMultilevel"/>
    <w:tmpl w:val="7D8E0D6E"/>
    <w:lvl w:ilvl="0" w:tplc="67C2EF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3630B04"/>
    <w:multiLevelType w:val="hybridMultilevel"/>
    <w:tmpl w:val="F7C02448"/>
    <w:lvl w:ilvl="0" w:tplc="7020E8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334873"/>
    <w:multiLevelType w:val="hybridMultilevel"/>
    <w:tmpl w:val="53EE4EF4"/>
    <w:lvl w:ilvl="0" w:tplc="67C2EF6A">
      <w:start w:val="1"/>
      <w:numFmt w:val="decimal"/>
      <w:lvlText w:val="%1)"/>
      <w:lvlJc w:val="left"/>
    </w:lvl>
    <w:lvl w:ilvl="1" w:tplc="7C32F6E4">
      <w:numFmt w:val="decimal"/>
      <w:lvlText w:val=""/>
      <w:lvlJc w:val="left"/>
    </w:lvl>
    <w:lvl w:ilvl="2" w:tplc="463A9AFA">
      <w:numFmt w:val="decimal"/>
      <w:lvlText w:val=""/>
      <w:lvlJc w:val="left"/>
    </w:lvl>
    <w:lvl w:ilvl="3" w:tplc="08E21F92">
      <w:numFmt w:val="decimal"/>
      <w:lvlText w:val=""/>
      <w:lvlJc w:val="left"/>
    </w:lvl>
    <w:lvl w:ilvl="4" w:tplc="9508F9CA">
      <w:numFmt w:val="decimal"/>
      <w:lvlText w:val=""/>
      <w:lvlJc w:val="left"/>
    </w:lvl>
    <w:lvl w:ilvl="5" w:tplc="83D05924">
      <w:numFmt w:val="decimal"/>
      <w:lvlText w:val=""/>
      <w:lvlJc w:val="left"/>
    </w:lvl>
    <w:lvl w:ilvl="6" w:tplc="29982F6C">
      <w:numFmt w:val="decimal"/>
      <w:lvlText w:val=""/>
      <w:lvlJc w:val="left"/>
    </w:lvl>
    <w:lvl w:ilvl="7" w:tplc="D19CF75C">
      <w:numFmt w:val="decimal"/>
      <w:lvlText w:val=""/>
      <w:lvlJc w:val="left"/>
    </w:lvl>
    <w:lvl w:ilvl="8" w:tplc="28EE911A">
      <w:numFmt w:val="decimal"/>
      <w:lvlText w:val=""/>
      <w:lvlJc w:val="left"/>
    </w:lvl>
  </w:abstractNum>
  <w:abstractNum w:abstractNumId="5">
    <w:nsid w:val="74B0DC51"/>
    <w:multiLevelType w:val="hybridMultilevel"/>
    <w:tmpl w:val="19EA8994"/>
    <w:lvl w:ilvl="0" w:tplc="7390FC06">
      <w:start w:val="11"/>
      <w:numFmt w:val="decimal"/>
      <w:lvlText w:val="%1)"/>
      <w:lvlJc w:val="left"/>
    </w:lvl>
    <w:lvl w:ilvl="1" w:tplc="0FB87D72">
      <w:numFmt w:val="decimal"/>
      <w:lvlText w:val=""/>
      <w:lvlJc w:val="left"/>
    </w:lvl>
    <w:lvl w:ilvl="2" w:tplc="07E684C8">
      <w:numFmt w:val="decimal"/>
      <w:lvlText w:val=""/>
      <w:lvlJc w:val="left"/>
    </w:lvl>
    <w:lvl w:ilvl="3" w:tplc="6DBC27BA">
      <w:numFmt w:val="decimal"/>
      <w:lvlText w:val=""/>
      <w:lvlJc w:val="left"/>
    </w:lvl>
    <w:lvl w:ilvl="4" w:tplc="6FBE3C2A">
      <w:numFmt w:val="decimal"/>
      <w:lvlText w:val=""/>
      <w:lvlJc w:val="left"/>
    </w:lvl>
    <w:lvl w:ilvl="5" w:tplc="652CC4BC">
      <w:numFmt w:val="decimal"/>
      <w:lvlText w:val=""/>
      <w:lvlJc w:val="left"/>
    </w:lvl>
    <w:lvl w:ilvl="6" w:tplc="E9CE2C1C">
      <w:numFmt w:val="decimal"/>
      <w:lvlText w:val=""/>
      <w:lvlJc w:val="left"/>
    </w:lvl>
    <w:lvl w:ilvl="7" w:tplc="ACA6E224">
      <w:numFmt w:val="decimal"/>
      <w:lvlText w:val=""/>
      <w:lvlJc w:val="left"/>
    </w:lvl>
    <w:lvl w:ilvl="8" w:tplc="244E1F40">
      <w:numFmt w:val="decimal"/>
      <w:lvlText w:val=""/>
      <w:lvlJc w:val="left"/>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79"/>
    <w:rsid w:val="00147275"/>
    <w:rsid w:val="001B7484"/>
    <w:rsid w:val="002405DA"/>
    <w:rsid w:val="00244D79"/>
    <w:rsid w:val="003C079B"/>
    <w:rsid w:val="004F56E0"/>
    <w:rsid w:val="005A3D17"/>
    <w:rsid w:val="005C274E"/>
    <w:rsid w:val="006E7A57"/>
    <w:rsid w:val="006F2172"/>
    <w:rsid w:val="007132EA"/>
    <w:rsid w:val="007168F9"/>
    <w:rsid w:val="007750F2"/>
    <w:rsid w:val="007D0064"/>
    <w:rsid w:val="00892DB7"/>
    <w:rsid w:val="009400DF"/>
    <w:rsid w:val="00B57A3D"/>
    <w:rsid w:val="00B94DC4"/>
    <w:rsid w:val="00D73593"/>
    <w:rsid w:val="00FB6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132EA"/>
    <w:pPr>
      <w:spacing w:before="100" w:beforeAutospacing="1" w:after="100" w:afterAutospacing="1"/>
      <w:outlineLvl w:val="1"/>
    </w:pPr>
    <w:rPr>
      <w:rFonts w:eastAsia="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275"/>
    <w:pPr>
      <w:ind w:left="720"/>
      <w:contextualSpacing/>
    </w:pPr>
  </w:style>
  <w:style w:type="paragraph" w:styleId="Zhlav">
    <w:name w:val="header"/>
    <w:basedOn w:val="Normln"/>
    <w:link w:val="ZhlavChar"/>
    <w:uiPriority w:val="99"/>
    <w:unhideWhenUsed/>
    <w:rsid w:val="00D73593"/>
    <w:pPr>
      <w:tabs>
        <w:tab w:val="center" w:pos="4536"/>
        <w:tab w:val="right" w:pos="9072"/>
      </w:tabs>
    </w:pPr>
  </w:style>
  <w:style w:type="character" w:customStyle="1" w:styleId="ZhlavChar">
    <w:name w:val="Záhlaví Char"/>
    <w:basedOn w:val="Standardnpsmoodstavce"/>
    <w:link w:val="Zhlav"/>
    <w:uiPriority w:val="99"/>
    <w:rsid w:val="00D73593"/>
  </w:style>
  <w:style w:type="paragraph" w:styleId="Zpat">
    <w:name w:val="footer"/>
    <w:basedOn w:val="Normln"/>
    <w:link w:val="ZpatChar"/>
    <w:uiPriority w:val="99"/>
    <w:unhideWhenUsed/>
    <w:rsid w:val="00D73593"/>
    <w:pPr>
      <w:tabs>
        <w:tab w:val="center" w:pos="4536"/>
        <w:tab w:val="right" w:pos="9072"/>
      </w:tabs>
    </w:pPr>
  </w:style>
  <w:style w:type="character" w:customStyle="1" w:styleId="ZpatChar">
    <w:name w:val="Zápatí Char"/>
    <w:basedOn w:val="Standardnpsmoodstavce"/>
    <w:link w:val="Zpat"/>
    <w:uiPriority w:val="99"/>
    <w:rsid w:val="00D73593"/>
  </w:style>
  <w:style w:type="paragraph" w:styleId="Textbubliny">
    <w:name w:val="Balloon Text"/>
    <w:basedOn w:val="Normln"/>
    <w:link w:val="TextbublinyChar"/>
    <w:uiPriority w:val="99"/>
    <w:semiHidden/>
    <w:unhideWhenUsed/>
    <w:rsid w:val="00B57A3D"/>
    <w:rPr>
      <w:rFonts w:ascii="Tahoma" w:hAnsi="Tahoma" w:cs="Tahoma"/>
      <w:sz w:val="16"/>
      <w:szCs w:val="16"/>
    </w:rPr>
  </w:style>
  <w:style w:type="character" w:customStyle="1" w:styleId="TextbublinyChar">
    <w:name w:val="Text bubliny Char"/>
    <w:basedOn w:val="Standardnpsmoodstavce"/>
    <w:link w:val="Textbubliny"/>
    <w:uiPriority w:val="99"/>
    <w:semiHidden/>
    <w:rsid w:val="00B57A3D"/>
    <w:rPr>
      <w:rFonts w:ascii="Tahoma" w:hAnsi="Tahoma" w:cs="Tahoma"/>
      <w:sz w:val="16"/>
      <w:szCs w:val="16"/>
    </w:rPr>
  </w:style>
  <w:style w:type="paragraph" w:styleId="Normlnweb">
    <w:name w:val="Normal (Web)"/>
    <w:basedOn w:val="Normln"/>
    <w:uiPriority w:val="99"/>
    <w:semiHidden/>
    <w:unhideWhenUsed/>
    <w:rsid w:val="007168F9"/>
    <w:pPr>
      <w:spacing w:before="100" w:beforeAutospacing="1" w:after="100" w:afterAutospacing="1"/>
    </w:pPr>
    <w:rPr>
      <w:rFonts w:eastAsia="Times New Roman"/>
      <w:sz w:val="24"/>
      <w:szCs w:val="24"/>
    </w:rPr>
  </w:style>
  <w:style w:type="character" w:customStyle="1" w:styleId="Nadpis2Char">
    <w:name w:val="Nadpis 2 Char"/>
    <w:basedOn w:val="Standardnpsmoodstavce"/>
    <w:link w:val="Nadpis2"/>
    <w:uiPriority w:val="9"/>
    <w:rsid w:val="007132EA"/>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132EA"/>
    <w:pPr>
      <w:spacing w:before="100" w:beforeAutospacing="1" w:after="100" w:afterAutospacing="1"/>
      <w:outlineLvl w:val="1"/>
    </w:pPr>
    <w:rPr>
      <w:rFonts w:eastAsia="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275"/>
    <w:pPr>
      <w:ind w:left="720"/>
      <w:contextualSpacing/>
    </w:pPr>
  </w:style>
  <w:style w:type="paragraph" w:styleId="Zhlav">
    <w:name w:val="header"/>
    <w:basedOn w:val="Normln"/>
    <w:link w:val="ZhlavChar"/>
    <w:uiPriority w:val="99"/>
    <w:unhideWhenUsed/>
    <w:rsid w:val="00D73593"/>
    <w:pPr>
      <w:tabs>
        <w:tab w:val="center" w:pos="4536"/>
        <w:tab w:val="right" w:pos="9072"/>
      </w:tabs>
    </w:pPr>
  </w:style>
  <w:style w:type="character" w:customStyle="1" w:styleId="ZhlavChar">
    <w:name w:val="Záhlaví Char"/>
    <w:basedOn w:val="Standardnpsmoodstavce"/>
    <w:link w:val="Zhlav"/>
    <w:uiPriority w:val="99"/>
    <w:rsid w:val="00D73593"/>
  </w:style>
  <w:style w:type="paragraph" w:styleId="Zpat">
    <w:name w:val="footer"/>
    <w:basedOn w:val="Normln"/>
    <w:link w:val="ZpatChar"/>
    <w:uiPriority w:val="99"/>
    <w:unhideWhenUsed/>
    <w:rsid w:val="00D73593"/>
    <w:pPr>
      <w:tabs>
        <w:tab w:val="center" w:pos="4536"/>
        <w:tab w:val="right" w:pos="9072"/>
      </w:tabs>
    </w:pPr>
  </w:style>
  <w:style w:type="character" w:customStyle="1" w:styleId="ZpatChar">
    <w:name w:val="Zápatí Char"/>
    <w:basedOn w:val="Standardnpsmoodstavce"/>
    <w:link w:val="Zpat"/>
    <w:uiPriority w:val="99"/>
    <w:rsid w:val="00D73593"/>
  </w:style>
  <w:style w:type="paragraph" w:styleId="Textbubliny">
    <w:name w:val="Balloon Text"/>
    <w:basedOn w:val="Normln"/>
    <w:link w:val="TextbublinyChar"/>
    <w:uiPriority w:val="99"/>
    <w:semiHidden/>
    <w:unhideWhenUsed/>
    <w:rsid w:val="00B57A3D"/>
    <w:rPr>
      <w:rFonts w:ascii="Tahoma" w:hAnsi="Tahoma" w:cs="Tahoma"/>
      <w:sz w:val="16"/>
      <w:szCs w:val="16"/>
    </w:rPr>
  </w:style>
  <w:style w:type="character" w:customStyle="1" w:styleId="TextbublinyChar">
    <w:name w:val="Text bubliny Char"/>
    <w:basedOn w:val="Standardnpsmoodstavce"/>
    <w:link w:val="Textbubliny"/>
    <w:uiPriority w:val="99"/>
    <w:semiHidden/>
    <w:rsid w:val="00B57A3D"/>
    <w:rPr>
      <w:rFonts w:ascii="Tahoma" w:hAnsi="Tahoma" w:cs="Tahoma"/>
      <w:sz w:val="16"/>
      <w:szCs w:val="16"/>
    </w:rPr>
  </w:style>
  <w:style w:type="paragraph" w:styleId="Normlnweb">
    <w:name w:val="Normal (Web)"/>
    <w:basedOn w:val="Normln"/>
    <w:uiPriority w:val="99"/>
    <w:semiHidden/>
    <w:unhideWhenUsed/>
    <w:rsid w:val="007168F9"/>
    <w:pPr>
      <w:spacing w:before="100" w:beforeAutospacing="1" w:after="100" w:afterAutospacing="1"/>
    </w:pPr>
    <w:rPr>
      <w:rFonts w:eastAsia="Times New Roman"/>
      <w:sz w:val="24"/>
      <w:szCs w:val="24"/>
    </w:rPr>
  </w:style>
  <w:style w:type="character" w:customStyle="1" w:styleId="Nadpis2Char">
    <w:name w:val="Nadpis 2 Char"/>
    <w:basedOn w:val="Standardnpsmoodstavce"/>
    <w:link w:val="Nadpis2"/>
    <w:uiPriority w:val="9"/>
    <w:rsid w:val="007132EA"/>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6911">
      <w:bodyDiv w:val="1"/>
      <w:marLeft w:val="0"/>
      <w:marRight w:val="0"/>
      <w:marTop w:val="0"/>
      <w:marBottom w:val="0"/>
      <w:divBdr>
        <w:top w:val="none" w:sz="0" w:space="0" w:color="auto"/>
        <w:left w:val="none" w:sz="0" w:space="0" w:color="auto"/>
        <w:bottom w:val="none" w:sz="0" w:space="0" w:color="auto"/>
        <w:right w:val="none" w:sz="0" w:space="0" w:color="auto"/>
      </w:divBdr>
    </w:div>
    <w:div w:id="319316132">
      <w:bodyDiv w:val="1"/>
      <w:marLeft w:val="0"/>
      <w:marRight w:val="0"/>
      <w:marTop w:val="0"/>
      <w:marBottom w:val="0"/>
      <w:divBdr>
        <w:top w:val="none" w:sz="0" w:space="0" w:color="auto"/>
        <w:left w:val="none" w:sz="0" w:space="0" w:color="auto"/>
        <w:bottom w:val="none" w:sz="0" w:space="0" w:color="auto"/>
        <w:right w:val="none" w:sz="0" w:space="0" w:color="auto"/>
      </w:divBdr>
    </w:div>
    <w:div w:id="351497599">
      <w:bodyDiv w:val="1"/>
      <w:marLeft w:val="0"/>
      <w:marRight w:val="0"/>
      <w:marTop w:val="0"/>
      <w:marBottom w:val="0"/>
      <w:divBdr>
        <w:top w:val="none" w:sz="0" w:space="0" w:color="auto"/>
        <w:left w:val="none" w:sz="0" w:space="0" w:color="auto"/>
        <w:bottom w:val="none" w:sz="0" w:space="0" w:color="auto"/>
        <w:right w:val="none" w:sz="0" w:space="0" w:color="auto"/>
      </w:divBdr>
    </w:div>
    <w:div w:id="21317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1048</Words>
  <Characters>6186</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Náhlíková Pavla</cp:lastModifiedBy>
  <cp:revision>5</cp:revision>
  <dcterms:created xsi:type="dcterms:W3CDTF">2018-10-16T13:00:00Z</dcterms:created>
  <dcterms:modified xsi:type="dcterms:W3CDTF">2018-11-27T10:06:00Z</dcterms:modified>
</cp:coreProperties>
</file>