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DBAB8" w14:textId="77777777" w:rsidR="00E431B4" w:rsidRPr="00903505" w:rsidRDefault="00E431B4" w:rsidP="00E431B4">
      <w:pPr>
        <w:spacing w:after="0"/>
        <w:jc w:val="right"/>
        <w:rPr>
          <w:b/>
          <w:color w:val="333397"/>
          <w:spacing w:val="4"/>
          <w:sz w:val="44"/>
          <w:szCs w:val="44"/>
        </w:rPr>
      </w:pPr>
      <w:r w:rsidRPr="00903505">
        <w:rPr>
          <w:rFonts w:cs="Calibri"/>
          <w:b/>
          <w:noProof/>
          <w:color w:val="993333"/>
          <w:spacing w:val="4"/>
          <w:sz w:val="24"/>
          <w:szCs w:val="24"/>
          <w:lang w:eastAsia="cs-CZ"/>
        </w:rPr>
        <mc:AlternateContent>
          <mc:Choice Requires="wps">
            <w:drawing>
              <wp:anchor distT="0" distB="0" distL="114300" distR="114300" simplePos="0" relativeHeight="251659264" behindDoc="1" locked="0" layoutInCell="1" allowOverlap="1" wp14:anchorId="7BC54264" wp14:editId="5990DE07">
                <wp:simplePos x="0" y="0"/>
                <wp:positionH relativeFrom="column">
                  <wp:posOffset>-1954633</wp:posOffset>
                </wp:positionH>
                <wp:positionV relativeFrom="paragraph">
                  <wp:posOffset>-876566</wp:posOffset>
                </wp:positionV>
                <wp:extent cx="8028940" cy="3030279"/>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8940" cy="3030279"/>
                        </a:xfrm>
                        <a:prstGeom prst="rect">
                          <a:avLst/>
                        </a:prstGeom>
                        <a:gradFill rotWithShape="0">
                          <a:gsLst>
                            <a:gs pos="0">
                              <a:srgbClr val="F2F2F2">
                                <a:gamma/>
                                <a:tint val="20000"/>
                                <a:invGamma/>
                              </a:srgbClr>
                            </a:gs>
                            <a:gs pos="100000">
                              <a:srgbClr val="F2F2F2"/>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3147D" id="Rectangle 10" o:spid="_x0000_s1026" style="position:absolute;margin-left:-153.9pt;margin-top:-69pt;width:632.2pt;height:23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" fillcolor="#fcfcfc" stroked="f">
                <v:fill color2="#f2f2f2" focus="100%" type="gradient"/>
              </v:rect>
            </w:pict>
          </mc:Fallback>
        </mc:AlternateContent>
      </w:r>
      <w:r w:rsidRPr="00903505">
        <w:rPr>
          <w:b/>
          <w:noProof/>
          <w:color w:val="333397"/>
          <w:spacing w:val="4"/>
          <w:lang w:eastAsia="cs-CZ"/>
        </w:rPr>
        <w:drawing>
          <wp:anchor distT="0" distB="0" distL="114300" distR="114300" simplePos="0" relativeHeight="251660288" behindDoc="0" locked="0" layoutInCell="1" allowOverlap="1" wp14:anchorId="25A29B5F" wp14:editId="39E098CD">
            <wp:simplePos x="0" y="0"/>
            <wp:positionH relativeFrom="margin">
              <wp:posOffset>86360</wp:posOffset>
            </wp:positionH>
            <wp:positionV relativeFrom="margin">
              <wp:posOffset>-64770</wp:posOffset>
            </wp:positionV>
            <wp:extent cx="1054100" cy="1050925"/>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4100" cy="1050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03505">
        <w:rPr>
          <w:b/>
          <w:color w:val="333397"/>
          <w:spacing w:val="4"/>
          <w:sz w:val="44"/>
          <w:szCs w:val="44"/>
        </w:rPr>
        <w:t xml:space="preserve">Ústav technicko-technologický </w:t>
      </w:r>
    </w:p>
    <w:p w14:paraId="2490E775" w14:textId="77777777" w:rsidR="00E431B4" w:rsidRPr="00903505" w:rsidRDefault="00E431B4" w:rsidP="00E431B4">
      <w:pPr>
        <w:pStyle w:val="Zhlav"/>
        <w:ind w:left="425"/>
        <w:jc w:val="right"/>
        <w:rPr>
          <w:rFonts w:ascii="Cambria" w:hAnsi="Cambria"/>
          <w:color w:val="333397"/>
          <w:sz w:val="8"/>
          <w:szCs w:val="8"/>
        </w:rPr>
      </w:pPr>
    </w:p>
    <w:p w14:paraId="660C3956" w14:textId="77777777" w:rsidR="00E431B4" w:rsidRPr="00903505" w:rsidRDefault="00E431B4" w:rsidP="00E431B4">
      <w:pPr>
        <w:tabs>
          <w:tab w:val="center" w:pos="4536"/>
        </w:tabs>
        <w:spacing w:after="400"/>
        <w:jc w:val="right"/>
        <w:rPr>
          <w:rFonts w:cs="Calibri"/>
          <w:b/>
          <w:color w:val="993333"/>
          <w:sz w:val="24"/>
          <w:szCs w:val="24"/>
        </w:rPr>
      </w:pPr>
      <w:r w:rsidRPr="00903505">
        <w:rPr>
          <w:b/>
          <w:color w:val="333397"/>
        </w:rPr>
        <w:t>Vysoká škola technická a ekonomická v Českých Budějovicích</w:t>
      </w:r>
    </w:p>
    <w:p w14:paraId="7E007D2B" w14:textId="77777777" w:rsidR="00E431B4" w:rsidRPr="00903505" w:rsidRDefault="007B2F8F" w:rsidP="00E431B4">
      <w:pPr>
        <w:tabs>
          <w:tab w:val="center" w:pos="4536"/>
        </w:tabs>
        <w:spacing w:after="0" w:line="360" w:lineRule="auto"/>
        <w:jc w:val="right"/>
        <w:rPr>
          <w:color w:val="333397"/>
        </w:rPr>
      </w:pPr>
      <w:r w:rsidRPr="00903505">
        <w:rPr>
          <w:color w:val="333397"/>
        </w:rPr>
        <w:t>Temat</w:t>
      </w:r>
      <w:r w:rsidR="002A4E24" w:rsidRPr="00903505">
        <w:rPr>
          <w:color w:val="333397"/>
        </w:rPr>
        <w:t>ické okruhy pro Státní závěrečnou zkoušku</w:t>
      </w:r>
    </w:p>
    <w:p w14:paraId="73CECE28" w14:textId="02FB3D08" w:rsidR="00E431B4" w:rsidRPr="00903505" w:rsidRDefault="00E431B4" w:rsidP="007B2F8F">
      <w:pPr>
        <w:tabs>
          <w:tab w:val="center" w:pos="4536"/>
        </w:tabs>
        <w:spacing w:after="0" w:line="360" w:lineRule="auto"/>
        <w:jc w:val="right"/>
        <w:rPr>
          <w:color w:val="333397"/>
        </w:rPr>
      </w:pPr>
      <w:r w:rsidRPr="00903505">
        <w:rPr>
          <w:color w:val="333397"/>
        </w:rPr>
        <w:t xml:space="preserve">Bakalářské studium </w:t>
      </w:r>
      <w:r w:rsidR="007B2F8F" w:rsidRPr="00903505">
        <w:rPr>
          <w:color w:val="333397"/>
        </w:rPr>
        <w:t>–</w:t>
      </w:r>
      <w:r w:rsidRPr="00903505">
        <w:rPr>
          <w:color w:val="333397"/>
        </w:rPr>
        <w:t xml:space="preserve"> </w:t>
      </w:r>
      <w:r w:rsidR="001635DA" w:rsidRPr="00903505">
        <w:rPr>
          <w:color w:val="333397"/>
        </w:rPr>
        <w:t xml:space="preserve">studijní </w:t>
      </w:r>
      <w:r w:rsidR="007B2F8F" w:rsidRPr="00903505">
        <w:rPr>
          <w:color w:val="333397"/>
        </w:rPr>
        <w:t xml:space="preserve">program: </w:t>
      </w:r>
      <w:r w:rsidR="00763BC1">
        <w:rPr>
          <w:b/>
          <w:color w:val="333397"/>
        </w:rPr>
        <w:t>Pozemní stavby</w:t>
      </w:r>
    </w:p>
    <w:p w14:paraId="5FC7D854" w14:textId="7863152E" w:rsidR="00E431B4" w:rsidRPr="00903505" w:rsidRDefault="007B2F8F" w:rsidP="007B2F8F">
      <w:pPr>
        <w:tabs>
          <w:tab w:val="center" w:pos="4536"/>
        </w:tabs>
        <w:spacing w:after="0" w:line="360" w:lineRule="auto"/>
        <w:ind w:right="-3"/>
        <w:jc w:val="right"/>
        <w:rPr>
          <w:color w:val="333397"/>
        </w:rPr>
      </w:pPr>
      <w:r w:rsidRPr="00903505">
        <w:rPr>
          <w:color w:val="333397"/>
        </w:rPr>
        <w:t xml:space="preserve">Platí pro doporučené studijní plány: </w:t>
      </w:r>
      <w:r w:rsidR="00B327F4" w:rsidRPr="00903505">
        <w:rPr>
          <w:color w:val="333397"/>
        </w:rPr>
        <w:t>DP_</w:t>
      </w:r>
      <w:r w:rsidR="00B327F4">
        <w:rPr>
          <w:color w:val="333397"/>
        </w:rPr>
        <w:t>PS</w:t>
      </w:r>
      <w:r w:rsidR="00B327F4" w:rsidRPr="00903505">
        <w:rPr>
          <w:color w:val="333397"/>
        </w:rPr>
        <w:t>_</w:t>
      </w:r>
      <w:r w:rsidR="00B327F4">
        <w:rPr>
          <w:color w:val="333397"/>
        </w:rPr>
        <w:t>P</w:t>
      </w:r>
      <w:r w:rsidR="00B327F4" w:rsidRPr="00903505">
        <w:rPr>
          <w:color w:val="333397"/>
        </w:rPr>
        <w:t>_č.1</w:t>
      </w:r>
      <w:r w:rsidR="00B327F4">
        <w:rPr>
          <w:color w:val="333397"/>
        </w:rPr>
        <w:t>_a,</w:t>
      </w:r>
      <w:r w:rsidR="00B327F4" w:rsidRPr="00B327F4">
        <w:rPr>
          <w:color w:val="333397"/>
        </w:rPr>
        <w:t xml:space="preserve"> </w:t>
      </w:r>
      <w:r w:rsidR="00B327F4" w:rsidRPr="00903505">
        <w:rPr>
          <w:color w:val="333397"/>
        </w:rPr>
        <w:t>DP_</w:t>
      </w:r>
      <w:r w:rsidR="00B327F4">
        <w:rPr>
          <w:color w:val="333397"/>
        </w:rPr>
        <w:t>PS</w:t>
      </w:r>
      <w:r w:rsidR="00B327F4" w:rsidRPr="00903505">
        <w:rPr>
          <w:color w:val="333397"/>
        </w:rPr>
        <w:t>_</w:t>
      </w:r>
      <w:r w:rsidR="00B327F4">
        <w:rPr>
          <w:color w:val="333397"/>
        </w:rPr>
        <w:t>K</w:t>
      </w:r>
      <w:r w:rsidR="00B327F4" w:rsidRPr="00903505">
        <w:rPr>
          <w:color w:val="333397"/>
        </w:rPr>
        <w:t>_č.1</w:t>
      </w:r>
      <w:r w:rsidR="00B327F4">
        <w:rPr>
          <w:color w:val="333397"/>
        </w:rPr>
        <w:t>_a</w:t>
      </w:r>
    </w:p>
    <w:p w14:paraId="10C2FBD7" w14:textId="77777777" w:rsidR="007B2F8F" w:rsidRPr="00903505" w:rsidRDefault="007B2F8F" w:rsidP="007B2F8F">
      <w:pPr>
        <w:tabs>
          <w:tab w:val="center" w:pos="4536"/>
        </w:tabs>
        <w:spacing w:after="0" w:line="360" w:lineRule="auto"/>
        <w:ind w:right="-3"/>
        <w:jc w:val="right"/>
        <w:rPr>
          <w:color w:val="333397"/>
        </w:rPr>
      </w:pPr>
    </w:p>
    <w:p w14:paraId="23441B1C" w14:textId="431FA4C6" w:rsidR="007B2F8F" w:rsidRPr="00903505" w:rsidRDefault="007B2F8F" w:rsidP="00E431B4">
      <w:pPr>
        <w:tabs>
          <w:tab w:val="center" w:pos="4536"/>
        </w:tabs>
        <w:spacing w:after="400" w:line="360" w:lineRule="auto"/>
        <w:ind w:right="-3"/>
        <w:jc w:val="right"/>
        <w:rPr>
          <w:color w:val="333397"/>
        </w:rPr>
      </w:pPr>
      <w:r w:rsidRPr="00903505">
        <w:rPr>
          <w:color w:val="333397"/>
        </w:rPr>
        <w:t xml:space="preserve">Název SZZ: </w:t>
      </w:r>
      <w:r w:rsidR="00C56F86">
        <w:rPr>
          <w:b/>
          <w:color w:val="333397"/>
        </w:rPr>
        <w:t>Budovy a prostředí</w:t>
      </w:r>
    </w:p>
    <w:p w14:paraId="06D0B6E6" w14:textId="77777777" w:rsidR="002A4E24" w:rsidRPr="00903505" w:rsidRDefault="002A4E24" w:rsidP="00760083">
      <w:pPr>
        <w:pStyle w:val="Zhlav"/>
        <w:tabs>
          <w:tab w:val="clear" w:pos="4536"/>
          <w:tab w:val="clear" w:pos="9072"/>
          <w:tab w:val="left" w:pos="4575"/>
          <w:tab w:val="left" w:pos="5925"/>
        </w:tabs>
        <w:jc w:val="center"/>
        <w:rPr>
          <w:rFonts w:ascii="Cambria" w:hAnsi="Cambria"/>
          <w:b/>
          <w:sz w:val="32"/>
          <w:szCs w:val="32"/>
          <w:u w:val="single"/>
        </w:rPr>
      </w:pPr>
    </w:p>
    <w:p w14:paraId="1005521A" w14:textId="77777777" w:rsidR="00E431B4" w:rsidRPr="00903505" w:rsidRDefault="007B2F8F" w:rsidP="00760083">
      <w:pPr>
        <w:pStyle w:val="Zhlav"/>
        <w:tabs>
          <w:tab w:val="clear" w:pos="4536"/>
          <w:tab w:val="clear" w:pos="9072"/>
          <w:tab w:val="left" w:pos="4575"/>
          <w:tab w:val="left" w:pos="5925"/>
        </w:tabs>
        <w:jc w:val="center"/>
        <w:rPr>
          <w:rFonts w:ascii="Cambria" w:hAnsi="Cambria"/>
          <w:sz w:val="24"/>
          <w:szCs w:val="24"/>
        </w:rPr>
      </w:pPr>
      <w:r w:rsidRPr="00903505">
        <w:rPr>
          <w:rFonts w:ascii="Cambria" w:hAnsi="Cambria"/>
          <w:b/>
          <w:sz w:val="32"/>
          <w:szCs w:val="32"/>
          <w:u w:val="single"/>
        </w:rPr>
        <w:t>Temat</w:t>
      </w:r>
      <w:r w:rsidR="001635DA" w:rsidRPr="00903505">
        <w:rPr>
          <w:rFonts w:ascii="Cambria" w:hAnsi="Cambria"/>
          <w:b/>
          <w:sz w:val="32"/>
          <w:szCs w:val="32"/>
          <w:u w:val="single"/>
        </w:rPr>
        <w:t>ické okruhy pro Státní závěrečnou zkoušku</w:t>
      </w:r>
    </w:p>
    <w:p w14:paraId="372B59EE" w14:textId="77777777" w:rsidR="00760083" w:rsidRPr="00903505" w:rsidRDefault="00760083" w:rsidP="00760083">
      <w:pPr>
        <w:spacing w:after="0"/>
      </w:pPr>
    </w:p>
    <w:p w14:paraId="1525D8EE" w14:textId="77777777" w:rsidR="002A4E24" w:rsidRPr="00903505" w:rsidRDefault="002A4E24" w:rsidP="002A4E24">
      <w:pPr>
        <w:tabs>
          <w:tab w:val="left" w:pos="760"/>
        </w:tabs>
        <w:spacing w:after="0"/>
        <w:ind w:left="80"/>
        <w:rPr>
          <w:rFonts w:eastAsia="Cambria" w:cs="Cambria"/>
          <w:b/>
          <w:bCs/>
        </w:rPr>
      </w:pPr>
    </w:p>
    <w:p w14:paraId="67FFD14A" w14:textId="4C79227D" w:rsidR="007B2F8F" w:rsidRPr="00903505" w:rsidRDefault="007B2F8F" w:rsidP="007B2F8F">
      <w:pPr>
        <w:tabs>
          <w:tab w:val="left" w:pos="760"/>
        </w:tabs>
        <w:ind w:left="80"/>
      </w:pPr>
      <w:r w:rsidRPr="00903505">
        <w:rPr>
          <w:rFonts w:eastAsia="Cambria" w:cs="Cambria"/>
          <w:b/>
          <w:bCs/>
        </w:rPr>
        <w:t>Studijní program:</w:t>
      </w:r>
      <w:r w:rsidRPr="00903505">
        <w:tab/>
      </w:r>
      <w:r w:rsidRPr="00903505">
        <w:tab/>
      </w:r>
      <w:r w:rsidR="00B327F4">
        <w:rPr>
          <w:rFonts w:eastAsia="Cambria" w:cs="Cambria"/>
        </w:rPr>
        <w:t>Pozemní stavby</w:t>
      </w:r>
    </w:p>
    <w:p w14:paraId="5C0CF1E0" w14:textId="4EF1E6C0" w:rsidR="00903505" w:rsidRPr="00903505" w:rsidRDefault="007B2F8F" w:rsidP="00903505">
      <w:pPr>
        <w:spacing w:after="0"/>
        <w:ind w:left="80"/>
        <w:rPr>
          <w:rFonts w:eastAsia="Cambria" w:cs="Cambria"/>
        </w:rPr>
      </w:pPr>
      <w:r w:rsidRPr="00903505">
        <w:rPr>
          <w:rFonts w:eastAsia="Cambria" w:cs="Cambria"/>
          <w:b/>
          <w:bCs/>
        </w:rPr>
        <w:t xml:space="preserve">Název SZZ: </w:t>
      </w:r>
      <w:r w:rsidRPr="00903505">
        <w:rPr>
          <w:rFonts w:eastAsia="Cambria" w:cs="Cambria"/>
          <w:b/>
          <w:bCs/>
        </w:rPr>
        <w:tab/>
      </w:r>
      <w:r w:rsidRPr="00903505">
        <w:rPr>
          <w:rFonts w:eastAsia="Cambria" w:cs="Cambria"/>
          <w:b/>
          <w:bCs/>
        </w:rPr>
        <w:tab/>
      </w:r>
      <w:r w:rsidRPr="00903505">
        <w:rPr>
          <w:rFonts w:eastAsia="Cambria" w:cs="Cambria"/>
          <w:b/>
          <w:bCs/>
        </w:rPr>
        <w:tab/>
      </w:r>
      <w:r w:rsidR="00C56F86">
        <w:rPr>
          <w:rFonts w:eastAsia="Cambria" w:cs="Cambria"/>
        </w:rPr>
        <w:t>Budovy a prostředí</w:t>
      </w:r>
      <w:r w:rsidR="00903505" w:rsidRPr="00903505">
        <w:rPr>
          <w:rFonts w:eastAsia="Cambria" w:cs="Cambria"/>
        </w:rPr>
        <w:t xml:space="preserve"> </w:t>
      </w:r>
    </w:p>
    <w:p w14:paraId="77A81116" w14:textId="7B0051A5" w:rsidR="007B2F8F" w:rsidRPr="00903505" w:rsidRDefault="007B2F8F" w:rsidP="00903505">
      <w:pPr>
        <w:ind w:left="2204" w:firstLine="628"/>
      </w:pPr>
    </w:p>
    <w:p w14:paraId="05A47CB8" w14:textId="77777777" w:rsidR="007B2F8F" w:rsidRPr="00903505" w:rsidRDefault="007B2F8F" w:rsidP="007B2F8F">
      <w:pPr>
        <w:spacing w:line="200" w:lineRule="exact"/>
      </w:pPr>
    </w:p>
    <w:p w14:paraId="12515EE9" w14:textId="1284EB70" w:rsidR="006374D5" w:rsidRDefault="007B2F8F" w:rsidP="006374D5">
      <w:pPr>
        <w:spacing w:after="0" w:line="360" w:lineRule="auto"/>
        <w:rPr>
          <w:rFonts w:asciiTheme="majorHAnsi" w:hAnsiTheme="majorHAnsi"/>
        </w:rPr>
      </w:pPr>
      <w:r w:rsidRPr="00903505">
        <w:rPr>
          <w:b/>
        </w:rPr>
        <w:t>Prerekvizity k SZZ:</w:t>
      </w:r>
      <w:r w:rsidRPr="00903505">
        <w:t xml:space="preserve"> </w:t>
      </w:r>
      <w:r w:rsidRPr="00903505">
        <w:tab/>
      </w:r>
      <w:r w:rsidRPr="00903505">
        <w:tab/>
      </w:r>
      <w:r w:rsidR="00C56F86" w:rsidRPr="007132EA">
        <w:rPr>
          <w:rFonts w:asciiTheme="majorHAnsi" w:hAnsiTheme="majorHAnsi"/>
        </w:rPr>
        <w:t>Stavební fyzika I.</w:t>
      </w:r>
    </w:p>
    <w:p w14:paraId="56B2CFBC" w14:textId="593BE6B7" w:rsidR="006374D5" w:rsidRDefault="00C56F86" w:rsidP="006374D5">
      <w:pPr>
        <w:spacing w:after="0" w:line="360" w:lineRule="auto"/>
        <w:ind w:left="2112" w:firstLine="720"/>
        <w:rPr>
          <w:rFonts w:asciiTheme="majorHAnsi" w:hAnsiTheme="majorHAnsi"/>
        </w:rPr>
      </w:pPr>
      <w:r>
        <w:rPr>
          <w:rFonts w:asciiTheme="majorHAnsi" w:hAnsiTheme="majorHAnsi"/>
        </w:rPr>
        <w:t>Stavební fyzika II.</w:t>
      </w:r>
    </w:p>
    <w:p w14:paraId="24D836E4" w14:textId="1E0F7A30" w:rsidR="006374D5" w:rsidRDefault="00C56F86" w:rsidP="006374D5">
      <w:pPr>
        <w:spacing w:after="0" w:line="360" w:lineRule="auto"/>
        <w:ind w:left="2112" w:firstLine="720"/>
        <w:rPr>
          <w:rFonts w:asciiTheme="majorHAnsi" w:hAnsiTheme="majorHAnsi"/>
        </w:rPr>
      </w:pPr>
      <w:r>
        <w:rPr>
          <w:rFonts w:asciiTheme="majorHAnsi" w:hAnsiTheme="majorHAnsi"/>
        </w:rPr>
        <w:t>Budovy a prostředí</w:t>
      </w:r>
    </w:p>
    <w:p w14:paraId="104379D9" w14:textId="6CA2010E" w:rsidR="00B327F4" w:rsidRDefault="00C56F86" w:rsidP="006374D5">
      <w:pPr>
        <w:spacing w:after="0" w:line="360" w:lineRule="auto"/>
        <w:ind w:left="2112" w:firstLine="720"/>
        <w:rPr>
          <w:rFonts w:asciiTheme="majorHAnsi" w:hAnsiTheme="majorHAnsi"/>
        </w:rPr>
      </w:pPr>
      <w:r>
        <w:rPr>
          <w:rFonts w:asciiTheme="majorHAnsi" w:hAnsiTheme="majorHAnsi"/>
        </w:rPr>
        <w:t>Budovy a energie</w:t>
      </w:r>
    </w:p>
    <w:p w14:paraId="58D2A78A" w14:textId="791D29C7" w:rsidR="00B327F4" w:rsidRDefault="00C56F86" w:rsidP="006374D5">
      <w:pPr>
        <w:spacing w:after="0" w:line="360" w:lineRule="auto"/>
        <w:ind w:left="2112" w:firstLine="720"/>
        <w:rPr>
          <w:rFonts w:asciiTheme="majorHAnsi" w:hAnsiTheme="majorHAnsi"/>
        </w:rPr>
      </w:pPr>
      <w:r>
        <w:rPr>
          <w:rFonts w:asciiTheme="majorHAnsi" w:hAnsiTheme="majorHAnsi"/>
        </w:rPr>
        <w:t>Technická zařízení budov I.</w:t>
      </w:r>
    </w:p>
    <w:p w14:paraId="6ED8BA91" w14:textId="522F7648" w:rsidR="00C56F86" w:rsidRDefault="00C56F86" w:rsidP="006374D5">
      <w:pPr>
        <w:spacing w:after="0" w:line="360" w:lineRule="auto"/>
        <w:ind w:left="2112" w:firstLine="720"/>
        <w:rPr>
          <w:rFonts w:asciiTheme="majorHAnsi" w:hAnsiTheme="majorHAnsi"/>
        </w:rPr>
      </w:pPr>
      <w:r>
        <w:rPr>
          <w:rFonts w:asciiTheme="majorHAnsi" w:hAnsiTheme="majorHAnsi"/>
        </w:rPr>
        <w:t>Technická zařízení budov II.</w:t>
      </w:r>
    </w:p>
    <w:p w14:paraId="15BE8945" w14:textId="77777777" w:rsidR="007B2F8F" w:rsidRPr="00903505" w:rsidRDefault="007B2F8F" w:rsidP="006374D5">
      <w:pPr>
        <w:spacing w:after="0" w:line="360" w:lineRule="auto"/>
      </w:pPr>
    </w:p>
    <w:p w14:paraId="49A4D7A2" w14:textId="77777777" w:rsidR="007B2F8F" w:rsidRPr="00903505" w:rsidRDefault="007B2F8F" w:rsidP="00E431B4"/>
    <w:p w14:paraId="53F14B33" w14:textId="77777777" w:rsidR="007B2F8F" w:rsidRPr="00903505" w:rsidRDefault="007B2F8F" w:rsidP="00E431B4"/>
    <w:p w14:paraId="6ADECC33" w14:textId="77777777" w:rsidR="007B2F8F" w:rsidRPr="00903505" w:rsidRDefault="007B2F8F" w:rsidP="00E431B4"/>
    <w:p w14:paraId="004CB738" w14:textId="77777777" w:rsidR="007B2F8F" w:rsidRPr="00903505" w:rsidRDefault="007B2F8F" w:rsidP="00E431B4"/>
    <w:p w14:paraId="1A1D8808" w14:textId="77777777" w:rsidR="007B2F8F" w:rsidRPr="00903505" w:rsidRDefault="007B2F8F" w:rsidP="00E431B4"/>
    <w:p w14:paraId="79F86695" w14:textId="77777777" w:rsidR="007B2F8F" w:rsidRPr="00903505" w:rsidRDefault="007B2F8F" w:rsidP="00E431B4"/>
    <w:tbl>
      <w:tblPr>
        <w:tblW w:w="0" w:type="auto"/>
        <w:tblInd w:w="10" w:type="dxa"/>
        <w:tblLayout w:type="fixed"/>
        <w:tblCellMar>
          <w:left w:w="0" w:type="dxa"/>
          <w:right w:w="0" w:type="dxa"/>
        </w:tblCellMar>
        <w:tblLook w:val="04A0" w:firstRow="1" w:lastRow="0" w:firstColumn="1" w:lastColumn="0" w:noHBand="0" w:noVBand="1"/>
      </w:tblPr>
      <w:tblGrid>
        <w:gridCol w:w="2694"/>
        <w:gridCol w:w="3969"/>
        <w:gridCol w:w="1417"/>
        <w:gridCol w:w="2126"/>
      </w:tblGrid>
      <w:tr w:rsidR="002A4E24" w:rsidRPr="00903505" w14:paraId="7B3B4D90" w14:textId="77777777" w:rsidTr="002A4E24">
        <w:trPr>
          <w:trHeight w:val="676"/>
        </w:trPr>
        <w:tc>
          <w:tcPr>
            <w:tcW w:w="2694" w:type="dxa"/>
            <w:tcBorders>
              <w:top w:val="single" w:sz="4" w:space="0" w:color="auto"/>
              <w:left w:val="single" w:sz="8" w:space="0" w:color="auto"/>
              <w:bottom w:val="single" w:sz="4" w:space="0" w:color="auto"/>
              <w:right w:val="single" w:sz="8" w:space="0" w:color="auto"/>
            </w:tcBorders>
            <w:vAlign w:val="center"/>
            <w:hideMark/>
          </w:tcPr>
          <w:p w14:paraId="49845BDE" w14:textId="77777777" w:rsidR="002A4E24" w:rsidRPr="00903505" w:rsidRDefault="002A4E24" w:rsidP="002A4E24">
            <w:pPr>
              <w:spacing w:after="0"/>
              <w:ind w:left="80"/>
              <w:jc w:val="left"/>
              <w:rPr>
                <w:sz w:val="20"/>
                <w:szCs w:val="20"/>
                <w:lang w:eastAsia="zh-CN"/>
              </w:rPr>
            </w:pPr>
            <w:r w:rsidRPr="00903505">
              <w:rPr>
                <w:rFonts w:eastAsia="Cambria" w:cs="Cambria"/>
                <w:b/>
                <w:bCs/>
                <w:sz w:val="20"/>
                <w:szCs w:val="20"/>
              </w:rPr>
              <w:t>Schválil garant programu:</w:t>
            </w:r>
          </w:p>
        </w:tc>
        <w:tc>
          <w:tcPr>
            <w:tcW w:w="3969" w:type="dxa"/>
            <w:tcBorders>
              <w:top w:val="single" w:sz="4" w:space="0" w:color="auto"/>
              <w:left w:val="nil"/>
              <w:bottom w:val="single" w:sz="4" w:space="0" w:color="auto"/>
              <w:right w:val="single" w:sz="8" w:space="0" w:color="auto"/>
            </w:tcBorders>
            <w:vAlign w:val="center"/>
            <w:hideMark/>
          </w:tcPr>
          <w:p w14:paraId="75C53BB9" w14:textId="431D8BF2" w:rsidR="002A4E24" w:rsidRPr="00903505" w:rsidRDefault="002A4E24" w:rsidP="002A4E24">
            <w:pPr>
              <w:spacing w:after="0"/>
              <w:jc w:val="left"/>
              <w:rPr>
                <w:sz w:val="20"/>
                <w:szCs w:val="20"/>
                <w:lang w:eastAsia="zh-CN"/>
              </w:rPr>
            </w:pPr>
            <w:r w:rsidRPr="00903505">
              <w:rPr>
                <w:sz w:val="20"/>
                <w:szCs w:val="20"/>
              </w:rPr>
              <w:t xml:space="preserve">  </w:t>
            </w:r>
            <w:r w:rsidR="00B327F4" w:rsidRPr="00853818">
              <w:rPr>
                <w:rFonts w:asciiTheme="majorHAnsi" w:eastAsia="Cambria" w:hAnsiTheme="majorHAnsi" w:cs="Cambria"/>
                <w:sz w:val="20"/>
                <w:szCs w:val="20"/>
              </w:rPr>
              <w:t>doc. Dr. Ing. Luboš Podolka</w:t>
            </w:r>
          </w:p>
        </w:tc>
        <w:tc>
          <w:tcPr>
            <w:tcW w:w="1417" w:type="dxa"/>
            <w:tcBorders>
              <w:top w:val="single" w:sz="4" w:space="0" w:color="auto"/>
              <w:left w:val="nil"/>
              <w:bottom w:val="single" w:sz="4" w:space="0" w:color="auto"/>
              <w:right w:val="single" w:sz="8" w:space="0" w:color="auto"/>
            </w:tcBorders>
            <w:vAlign w:val="center"/>
            <w:hideMark/>
          </w:tcPr>
          <w:p w14:paraId="2A910D83" w14:textId="77777777" w:rsidR="002A4E24" w:rsidRPr="00903505" w:rsidRDefault="002A4E24" w:rsidP="002A4E24">
            <w:pPr>
              <w:spacing w:after="0"/>
              <w:ind w:left="60"/>
              <w:jc w:val="left"/>
              <w:rPr>
                <w:sz w:val="20"/>
                <w:szCs w:val="20"/>
                <w:lang w:eastAsia="zh-CN"/>
              </w:rPr>
            </w:pPr>
            <w:r w:rsidRPr="00903505">
              <w:rPr>
                <w:rFonts w:eastAsia="Cambria" w:cs="Cambria"/>
                <w:b/>
                <w:bCs/>
                <w:sz w:val="20"/>
                <w:szCs w:val="20"/>
              </w:rPr>
              <w:t>Podpis:</w:t>
            </w:r>
          </w:p>
        </w:tc>
        <w:tc>
          <w:tcPr>
            <w:tcW w:w="2126" w:type="dxa"/>
            <w:tcBorders>
              <w:top w:val="single" w:sz="4" w:space="0" w:color="auto"/>
              <w:left w:val="nil"/>
              <w:bottom w:val="single" w:sz="4" w:space="0" w:color="auto"/>
              <w:right w:val="single" w:sz="8" w:space="0" w:color="auto"/>
            </w:tcBorders>
            <w:vAlign w:val="center"/>
          </w:tcPr>
          <w:p w14:paraId="19C0243F" w14:textId="77777777" w:rsidR="002A4E24" w:rsidRPr="00903505" w:rsidRDefault="002A4E24" w:rsidP="002A4E24">
            <w:pPr>
              <w:spacing w:after="0"/>
              <w:jc w:val="left"/>
              <w:rPr>
                <w:sz w:val="20"/>
                <w:szCs w:val="20"/>
                <w:lang w:eastAsia="zh-CN"/>
              </w:rPr>
            </w:pPr>
          </w:p>
        </w:tc>
      </w:tr>
    </w:tbl>
    <w:p w14:paraId="2D1B94DC" w14:textId="77777777" w:rsidR="00760083" w:rsidRPr="00903505" w:rsidRDefault="00760083" w:rsidP="007B2F8F"/>
    <w:tbl>
      <w:tblPr>
        <w:tblW w:w="0" w:type="auto"/>
        <w:tblInd w:w="10" w:type="dxa"/>
        <w:tblLayout w:type="fixed"/>
        <w:tblCellMar>
          <w:left w:w="0" w:type="dxa"/>
          <w:right w:w="0" w:type="dxa"/>
        </w:tblCellMar>
        <w:tblLook w:val="04A0" w:firstRow="1" w:lastRow="0" w:firstColumn="1" w:lastColumn="0" w:noHBand="0" w:noVBand="1"/>
      </w:tblPr>
      <w:tblGrid>
        <w:gridCol w:w="2694"/>
        <w:gridCol w:w="3969"/>
      </w:tblGrid>
      <w:tr w:rsidR="002A4E24" w:rsidRPr="00903505" w14:paraId="438F3CF1" w14:textId="77777777" w:rsidTr="002A4E24">
        <w:trPr>
          <w:trHeight w:val="612"/>
        </w:trPr>
        <w:tc>
          <w:tcPr>
            <w:tcW w:w="2694" w:type="dxa"/>
            <w:tcBorders>
              <w:top w:val="single" w:sz="8" w:space="0" w:color="auto"/>
              <w:left w:val="single" w:sz="8" w:space="0" w:color="auto"/>
              <w:bottom w:val="single" w:sz="4" w:space="0" w:color="auto"/>
              <w:right w:val="single" w:sz="8" w:space="0" w:color="auto"/>
            </w:tcBorders>
            <w:vAlign w:val="center"/>
            <w:hideMark/>
          </w:tcPr>
          <w:p w14:paraId="162A8607" w14:textId="77777777" w:rsidR="002A4E24" w:rsidRPr="00903505" w:rsidRDefault="002A4E24" w:rsidP="002A4E24">
            <w:pPr>
              <w:spacing w:after="0"/>
              <w:ind w:left="80"/>
              <w:jc w:val="left"/>
              <w:rPr>
                <w:sz w:val="20"/>
                <w:szCs w:val="20"/>
                <w:lang w:eastAsia="zh-CN"/>
              </w:rPr>
            </w:pPr>
            <w:r w:rsidRPr="00903505">
              <w:rPr>
                <w:rFonts w:eastAsia="Cambria" w:cs="Cambria"/>
                <w:b/>
                <w:bCs/>
                <w:sz w:val="20"/>
                <w:szCs w:val="20"/>
              </w:rPr>
              <w:t>Datum vydání</w:t>
            </w:r>
          </w:p>
        </w:tc>
        <w:tc>
          <w:tcPr>
            <w:tcW w:w="3969" w:type="dxa"/>
            <w:tcBorders>
              <w:top w:val="single" w:sz="8" w:space="0" w:color="auto"/>
              <w:left w:val="nil"/>
              <w:bottom w:val="single" w:sz="4" w:space="0" w:color="auto"/>
              <w:right w:val="single" w:sz="8" w:space="0" w:color="auto"/>
            </w:tcBorders>
            <w:vAlign w:val="center"/>
            <w:hideMark/>
          </w:tcPr>
          <w:p w14:paraId="786486AB" w14:textId="1219A4CE" w:rsidR="002A4E24" w:rsidRPr="00903505" w:rsidRDefault="002A4E24" w:rsidP="002A4E24">
            <w:pPr>
              <w:spacing w:after="0"/>
              <w:jc w:val="left"/>
              <w:rPr>
                <w:sz w:val="20"/>
                <w:szCs w:val="20"/>
              </w:rPr>
            </w:pPr>
            <w:r w:rsidRPr="00903505">
              <w:rPr>
                <w:sz w:val="20"/>
                <w:szCs w:val="20"/>
              </w:rPr>
              <w:t xml:space="preserve">  </w:t>
            </w:r>
            <w:r w:rsidR="00B327F4">
              <w:rPr>
                <w:sz w:val="20"/>
                <w:szCs w:val="20"/>
              </w:rPr>
              <w:t>20</w:t>
            </w:r>
            <w:r w:rsidRPr="00903505">
              <w:rPr>
                <w:sz w:val="20"/>
                <w:szCs w:val="20"/>
              </w:rPr>
              <w:t xml:space="preserve">. </w:t>
            </w:r>
            <w:r w:rsidR="00B327F4">
              <w:rPr>
                <w:sz w:val="20"/>
                <w:szCs w:val="20"/>
              </w:rPr>
              <w:t>9</w:t>
            </w:r>
            <w:r w:rsidRPr="00903505">
              <w:rPr>
                <w:sz w:val="20"/>
                <w:szCs w:val="20"/>
              </w:rPr>
              <w:t>. 202</w:t>
            </w:r>
            <w:r w:rsidR="00B327F4">
              <w:rPr>
                <w:sz w:val="20"/>
                <w:szCs w:val="20"/>
              </w:rPr>
              <w:t>1</w:t>
            </w:r>
            <w:r w:rsidR="00200CF8">
              <w:rPr>
                <w:sz w:val="20"/>
                <w:szCs w:val="20"/>
              </w:rPr>
              <w:t xml:space="preserve"> (revize 25. 6. 2024)</w:t>
            </w:r>
          </w:p>
        </w:tc>
      </w:tr>
      <w:tr w:rsidR="002A4E24" w:rsidRPr="00903505" w14:paraId="00B15613" w14:textId="77777777" w:rsidTr="002A4E24">
        <w:trPr>
          <w:trHeight w:val="688"/>
        </w:trPr>
        <w:tc>
          <w:tcPr>
            <w:tcW w:w="2694" w:type="dxa"/>
            <w:tcBorders>
              <w:top w:val="single" w:sz="4" w:space="0" w:color="auto"/>
              <w:left w:val="single" w:sz="8" w:space="0" w:color="auto"/>
              <w:bottom w:val="nil"/>
              <w:right w:val="single" w:sz="8" w:space="0" w:color="auto"/>
            </w:tcBorders>
            <w:vAlign w:val="center"/>
          </w:tcPr>
          <w:p w14:paraId="6921B5E7" w14:textId="77777777" w:rsidR="002A4E24" w:rsidRPr="00903505" w:rsidRDefault="002A4E24" w:rsidP="002A4E24">
            <w:pPr>
              <w:spacing w:after="0" w:line="223" w:lineRule="exact"/>
              <w:ind w:left="80"/>
              <w:jc w:val="left"/>
              <w:rPr>
                <w:rFonts w:eastAsia="Cambria" w:cs="Cambria"/>
                <w:b/>
                <w:bCs/>
                <w:sz w:val="20"/>
                <w:szCs w:val="20"/>
              </w:rPr>
            </w:pPr>
            <w:r w:rsidRPr="00903505">
              <w:rPr>
                <w:rFonts w:eastAsia="Cambria" w:cs="Cambria"/>
                <w:b/>
                <w:bCs/>
                <w:sz w:val="20"/>
                <w:szCs w:val="20"/>
              </w:rPr>
              <w:t>Platnost od:</w:t>
            </w:r>
          </w:p>
        </w:tc>
        <w:tc>
          <w:tcPr>
            <w:tcW w:w="3969" w:type="dxa"/>
            <w:tcBorders>
              <w:top w:val="single" w:sz="4" w:space="0" w:color="auto"/>
              <w:left w:val="nil"/>
              <w:bottom w:val="nil"/>
              <w:right w:val="single" w:sz="8" w:space="0" w:color="auto"/>
            </w:tcBorders>
            <w:vAlign w:val="center"/>
            <w:hideMark/>
          </w:tcPr>
          <w:p w14:paraId="4D4C3C47" w14:textId="366E67DD" w:rsidR="002A4E24" w:rsidRPr="00903505" w:rsidRDefault="002A4E24" w:rsidP="002A4E24">
            <w:pPr>
              <w:spacing w:after="0"/>
              <w:jc w:val="left"/>
              <w:rPr>
                <w:sz w:val="20"/>
                <w:szCs w:val="20"/>
              </w:rPr>
            </w:pPr>
            <w:r w:rsidRPr="00903505">
              <w:rPr>
                <w:sz w:val="20"/>
                <w:szCs w:val="20"/>
              </w:rPr>
              <w:t xml:space="preserve">  AR 202</w:t>
            </w:r>
            <w:r w:rsidR="00B327F4">
              <w:rPr>
                <w:sz w:val="20"/>
                <w:szCs w:val="20"/>
              </w:rPr>
              <w:t>1</w:t>
            </w:r>
            <w:r w:rsidRPr="00903505">
              <w:rPr>
                <w:sz w:val="20"/>
                <w:szCs w:val="20"/>
              </w:rPr>
              <w:t>/202</w:t>
            </w:r>
            <w:r w:rsidR="00B327F4">
              <w:rPr>
                <w:sz w:val="20"/>
                <w:szCs w:val="20"/>
              </w:rPr>
              <w:t>2</w:t>
            </w:r>
          </w:p>
        </w:tc>
      </w:tr>
      <w:tr w:rsidR="002A4E24" w:rsidRPr="00903505" w14:paraId="472C48ED" w14:textId="77777777" w:rsidTr="002A4E24">
        <w:trPr>
          <w:trHeight w:val="557"/>
        </w:trPr>
        <w:tc>
          <w:tcPr>
            <w:tcW w:w="2694" w:type="dxa"/>
            <w:tcBorders>
              <w:top w:val="single" w:sz="4" w:space="0" w:color="auto"/>
              <w:left w:val="single" w:sz="8" w:space="0" w:color="auto"/>
              <w:bottom w:val="single" w:sz="8" w:space="0" w:color="auto"/>
              <w:right w:val="single" w:sz="8" w:space="0" w:color="auto"/>
            </w:tcBorders>
            <w:vAlign w:val="center"/>
          </w:tcPr>
          <w:p w14:paraId="2E3FC80F" w14:textId="77777777" w:rsidR="002A4E24" w:rsidRPr="00903505" w:rsidRDefault="002A4E24" w:rsidP="002A4E24">
            <w:pPr>
              <w:spacing w:after="0" w:line="223" w:lineRule="exact"/>
              <w:ind w:left="80"/>
              <w:jc w:val="left"/>
              <w:rPr>
                <w:rFonts w:eastAsia="Cambria" w:cs="Cambria"/>
                <w:b/>
                <w:bCs/>
                <w:sz w:val="20"/>
                <w:szCs w:val="20"/>
              </w:rPr>
            </w:pPr>
            <w:r w:rsidRPr="00903505">
              <w:rPr>
                <w:rFonts w:eastAsia="Cambria" w:cs="Cambria"/>
                <w:b/>
                <w:bCs/>
                <w:sz w:val="20"/>
                <w:szCs w:val="20"/>
              </w:rPr>
              <w:t>Platnost do:</w:t>
            </w:r>
          </w:p>
        </w:tc>
        <w:tc>
          <w:tcPr>
            <w:tcW w:w="3969" w:type="dxa"/>
            <w:tcBorders>
              <w:top w:val="single" w:sz="4" w:space="0" w:color="auto"/>
              <w:left w:val="nil"/>
              <w:bottom w:val="single" w:sz="8" w:space="0" w:color="auto"/>
              <w:right w:val="single" w:sz="8" w:space="0" w:color="auto"/>
            </w:tcBorders>
            <w:vAlign w:val="center"/>
            <w:hideMark/>
          </w:tcPr>
          <w:p w14:paraId="5FEAA0EB" w14:textId="77777777" w:rsidR="002A4E24" w:rsidRPr="00903505" w:rsidRDefault="001635DA" w:rsidP="002A4E24">
            <w:pPr>
              <w:spacing w:after="0"/>
              <w:jc w:val="left"/>
              <w:rPr>
                <w:sz w:val="20"/>
                <w:szCs w:val="20"/>
              </w:rPr>
            </w:pPr>
            <w:r w:rsidRPr="00903505">
              <w:rPr>
                <w:sz w:val="20"/>
                <w:szCs w:val="20"/>
              </w:rPr>
              <w:t xml:space="preserve">  o</w:t>
            </w:r>
            <w:r w:rsidR="002A4E24" w:rsidRPr="00903505">
              <w:rPr>
                <w:sz w:val="20"/>
                <w:szCs w:val="20"/>
              </w:rPr>
              <w:t>dvolání</w:t>
            </w:r>
          </w:p>
        </w:tc>
      </w:tr>
    </w:tbl>
    <w:p w14:paraId="08F67D53" w14:textId="77777777" w:rsidR="002A4E24" w:rsidRPr="00903505" w:rsidRDefault="002A4E24" w:rsidP="007B2F8F"/>
    <w:p w14:paraId="733288BB" w14:textId="77777777" w:rsidR="002A4E24" w:rsidRPr="00903505" w:rsidRDefault="002A4E24" w:rsidP="00A5110A">
      <w:pPr>
        <w:spacing w:after="0"/>
      </w:pPr>
    </w:p>
    <w:p w14:paraId="5D403804" w14:textId="77777777" w:rsidR="006374D5" w:rsidRPr="006374D5" w:rsidRDefault="002A4E24" w:rsidP="006374D5">
      <w:pPr>
        <w:spacing w:after="0" w:line="480" w:lineRule="auto"/>
        <w:rPr>
          <w:sz w:val="20"/>
          <w:szCs w:val="20"/>
        </w:rPr>
      </w:pPr>
      <w:r w:rsidRPr="00903505">
        <w:rPr>
          <w:rFonts w:eastAsia="Cambria" w:cs="Cambria"/>
          <w:b/>
          <w:bCs/>
          <w:sz w:val="32"/>
          <w:szCs w:val="32"/>
          <w:u w:val="single"/>
        </w:rPr>
        <w:t>Tematické okruhy</w:t>
      </w:r>
    </w:p>
    <w:p w14:paraId="51DC197B" w14:textId="77777777" w:rsidR="00C56F86" w:rsidRPr="00C56F86" w:rsidRDefault="00C56F86" w:rsidP="00C56F86">
      <w:pPr>
        <w:pStyle w:val="Normlnweb"/>
        <w:numPr>
          <w:ilvl w:val="0"/>
          <w:numId w:val="16"/>
        </w:numPr>
        <w:spacing w:before="0" w:beforeAutospacing="0" w:after="200" w:afterAutospacing="0"/>
        <w:ind w:left="426" w:hanging="426"/>
        <w:jc w:val="both"/>
        <w:rPr>
          <w:rFonts w:ascii="Cambria" w:hAnsi="Cambria"/>
          <w:color w:val="000000"/>
          <w:sz w:val="22"/>
          <w:szCs w:val="22"/>
        </w:rPr>
      </w:pPr>
      <w:r w:rsidRPr="00C56F86">
        <w:rPr>
          <w:rFonts w:ascii="Cambria" w:hAnsi="Cambria"/>
          <w:color w:val="000000"/>
          <w:sz w:val="22"/>
          <w:szCs w:val="22"/>
        </w:rPr>
        <w:t>Šíření tepla konstrukcí (nejnižší povrchová teplota, součinitel prostupu tepla, průměrný součinitel prostupu tepla, lineární a bodový činitel prostupu tepla, pokles dotykové teploty)</w:t>
      </w:r>
    </w:p>
    <w:p w14:paraId="03CA6266"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Šíření vlhkosti konstrukcí (kondenzace vodní páry uvnitř konstrukce, roční bilance kondenzace a vypařování vodní páry uvnitř konstrukce)</w:t>
      </w:r>
    </w:p>
    <w:p w14:paraId="062D86F3"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Šíření vzduchu konstrukcí a budovou (průvzdušnost, větrání místností)</w:t>
      </w:r>
    </w:p>
    <w:p w14:paraId="1B9ECBFB"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Tepelná stabilita místností (v zimním a letním období)</w:t>
      </w:r>
    </w:p>
    <w:p w14:paraId="36041C66"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Ukazatele energetické náročnosti budovy (primární energie za rok, neobnovitelná primární energie, celková dodaná energie, dílčí dodané energie pro technické systémy vytápění, chlazení, větrání, úpravu vlhkosti vzduchu, přípravu teplé vody a osvětlení, průměrný součinitel prostupu tepla, součinitele prostupu tepla jednotlivých konstrukcí, účinnost technických systémů)</w:t>
      </w:r>
    </w:p>
    <w:p w14:paraId="56C24214"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 xml:space="preserve">Denní osvětlení (zásady navrhování a posuzování osvětlení místností, stanovení činitele denní osvětlenosti, </w:t>
      </w:r>
      <w:proofErr w:type="spellStart"/>
      <w:r w:rsidRPr="00C56F86">
        <w:rPr>
          <w:rFonts w:ascii="Cambria" w:hAnsi="Cambria"/>
          <w:color w:val="000000"/>
          <w:sz w:val="22"/>
          <w:szCs w:val="22"/>
        </w:rPr>
        <w:t>Daniljukova</w:t>
      </w:r>
      <w:proofErr w:type="spellEnd"/>
      <w:r w:rsidRPr="00C56F86">
        <w:rPr>
          <w:rFonts w:ascii="Cambria" w:hAnsi="Cambria"/>
          <w:color w:val="000000"/>
          <w:sz w:val="22"/>
          <w:szCs w:val="22"/>
        </w:rPr>
        <w:t xml:space="preserve"> metoda, oslunění, metody stanovení oslunění)</w:t>
      </w:r>
    </w:p>
    <w:p w14:paraId="756DEEFA"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Akustika (základy, akustiky, šíření hluku ve venkovním a vnitřním prostředí, prostorová akustika)</w:t>
      </w:r>
    </w:p>
    <w:p w14:paraId="1575D460"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Stavební akustika (kročejová a vzduchová neprůzvučnost, šíření hluku a vibrací konstrukcí, detaily)</w:t>
      </w:r>
    </w:p>
    <w:p w14:paraId="64611B8C"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Tepelně-vlhkostní mikroklima (rovnoměrná, nerovnoměrná tepelně-vlhkostní složka v prostore a čase, fyzikální, chemická termoregulace, rovnice tepelné pohody / rovnováhy, součinitel radiační pohody)</w:t>
      </w:r>
    </w:p>
    <w:p w14:paraId="7C6ABE4B" w14:textId="55460875"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 xml:space="preserve">Kategorie vnitřního prostředí dle </w:t>
      </w:r>
      <w:r w:rsidR="00200CF8" w:rsidRPr="00200CF8">
        <w:rPr>
          <w:rFonts w:ascii="Cambria" w:hAnsi="Cambria"/>
          <w:color w:val="000000"/>
          <w:sz w:val="22"/>
          <w:szCs w:val="22"/>
        </w:rPr>
        <w:t xml:space="preserve">ČSN EN 16798-1 </w:t>
      </w:r>
      <w:r w:rsidRPr="00C56F86">
        <w:rPr>
          <w:rFonts w:ascii="Cambria" w:hAnsi="Cambria"/>
          <w:color w:val="000000"/>
          <w:sz w:val="22"/>
          <w:szCs w:val="22"/>
        </w:rPr>
        <w:t>(kritéria pro málo a velmi málo znečištěné budovy, index PMV-PPD, intenzita výměny vzduchu na zředění emisí od uživatelů, intenzity větrání pro emise z budovy, doporučená kritéria koncentrace CO2)</w:t>
      </w:r>
    </w:p>
    <w:p w14:paraId="26134DCA"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 xml:space="preserve">Těkavé organické látky v budovách - indikátor </w:t>
      </w:r>
      <w:proofErr w:type="spellStart"/>
      <w:r w:rsidRPr="00C56F86">
        <w:rPr>
          <w:rFonts w:ascii="Cambria" w:hAnsi="Cambria"/>
          <w:color w:val="000000"/>
          <w:sz w:val="22"/>
          <w:szCs w:val="22"/>
        </w:rPr>
        <w:t>odérového</w:t>
      </w:r>
      <w:proofErr w:type="spellEnd"/>
      <w:r w:rsidRPr="00C56F86">
        <w:rPr>
          <w:rFonts w:ascii="Cambria" w:hAnsi="Cambria"/>
          <w:color w:val="000000"/>
          <w:sz w:val="22"/>
          <w:szCs w:val="22"/>
        </w:rPr>
        <w:t xml:space="preserve"> a chemického znečištění ve vazbě na stavební materiály, konstrukce a systémy TZB (charakteristika </w:t>
      </w:r>
      <w:proofErr w:type="spellStart"/>
      <w:r w:rsidRPr="00C56F86">
        <w:rPr>
          <w:rFonts w:ascii="Cambria" w:hAnsi="Cambria"/>
          <w:color w:val="000000"/>
          <w:sz w:val="22"/>
          <w:szCs w:val="22"/>
        </w:rPr>
        <w:t>VOCs</w:t>
      </w:r>
      <w:proofErr w:type="spellEnd"/>
      <w:r w:rsidRPr="00C56F86">
        <w:rPr>
          <w:rFonts w:ascii="Cambria" w:hAnsi="Cambria"/>
          <w:color w:val="000000"/>
          <w:sz w:val="22"/>
          <w:szCs w:val="22"/>
        </w:rPr>
        <w:t xml:space="preserve">, účinky </w:t>
      </w:r>
      <w:proofErr w:type="spellStart"/>
      <w:r w:rsidRPr="00C56F86">
        <w:rPr>
          <w:rFonts w:ascii="Cambria" w:hAnsi="Cambria"/>
          <w:color w:val="000000"/>
          <w:sz w:val="22"/>
          <w:szCs w:val="22"/>
        </w:rPr>
        <w:t>VOCs</w:t>
      </w:r>
      <w:proofErr w:type="spellEnd"/>
      <w:r w:rsidRPr="00C56F86">
        <w:rPr>
          <w:rFonts w:ascii="Cambria" w:hAnsi="Cambria"/>
          <w:color w:val="000000"/>
          <w:sz w:val="22"/>
          <w:szCs w:val="22"/>
        </w:rPr>
        <w:t xml:space="preserve">, zdroje, intenzita větrání pro znečištění od emisí TVOC z budov, filtrace vzduchu, fotokatalytická oxidace, neutralizace ionizovaným ozónem, </w:t>
      </w:r>
      <w:proofErr w:type="spellStart"/>
      <w:r w:rsidRPr="00C56F86">
        <w:rPr>
          <w:rFonts w:ascii="Cambria" w:hAnsi="Cambria"/>
          <w:color w:val="000000"/>
          <w:sz w:val="22"/>
          <w:szCs w:val="22"/>
        </w:rPr>
        <w:t>deodorizace</w:t>
      </w:r>
      <w:proofErr w:type="spellEnd"/>
      <w:r w:rsidRPr="00C56F86">
        <w:rPr>
          <w:rFonts w:ascii="Cambria" w:hAnsi="Cambria"/>
          <w:color w:val="000000"/>
          <w:sz w:val="22"/>
          <w:szCs w:val="22"/>
        </w:rPr>
        <w:t>)</w:t>
      </w:r>
    </w:p>
    <w:p w14:paraId="4D9C12AD"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Tuhé částice ve vnitřním prostředí budov (aerodynamický průměr částic, PM10, PM 2,5 hmotnostní koncentrace, početní koncentrace, vlastnosti tuhých částic, zdroje, optimalizace výskytu tuhých částic)</w:t>
      </w:r>
    </w:p>
    <w:p w14:paraId="77855DF2"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Radon ve vnitřním prostředí budov (zdroje radonu v budovách, objemová a hmotnostní aktivita radioaktívní látky, ekvivalentní objemová aktivita radonu, rovnovážný faktor F, protiradonová opatření)</w:t>
      </w:r>
    </w:p>
    <w:p w14:paraId="52720AB8"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Budovy s téměř nulovou spotřebou energie (budova s téměř nulovou spotřebou energie, legislativa EU a ČR, nákladově optimální úroveň)</w:t>
      </w:r>
    </w:p>
    <w:p w14:paraId="7C120DC8"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Zelená architektura a trvale udržitelný rozvoj (hlavní důvody vzniku a základní principy TUR, Agenda 21, Agenda 2030, environmentální architektura, zelená budova)</w:t>
      </w:r>
    </w:p>
    <w:p w14:paraId="5BA7A2CC"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Energetická bilance a kategorie budov s nízkou spotřebou energie (primární energie, bilanční schéma, kategorie budov dle roční měrné potřeby tepla na vytápění, nízkoenergetické domy, pasivní domy, energeticky nulové domy, požadavky dle ČSN 730540 – 2 (2011), autonomní domy)</w:t>
      </w:r>
    </w:p>
    <w:p w14:paraId="491D50BD"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Koncepce navrhování nízkoenergetických a pasivních (volba lokality výstavby, osazení budovy do terénu, orientace budovy ke světovým stranám, zastínění budovy, převládající směr větru, tvarové řešení budovy, vyloučení tepelných mostů, vnitřní uspořádání dispozice objektu, velikost prosklených ploch)</w:t>
      </w:r>
    </w:p>
    <w:p w14:paraId="04AF3A55"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Stavební a konstrukční řešení nízkoenergetických a pasivních domů (zásady návrhu konstrukcí, progresivní technologie a řešení pro spodní stavbu, obvodové konstrukce, střešní konstrukce, izolační systémy a okenní výplně, high-tech materiály, vzduchotěsnost stavebních konstrukcí)</w:t>
      </w:r>
    </w:p>
    <w:p w14:paraId="515D6FEC"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 xml:space="preserve">Technické soustavy v nízkoenergetických a pasivních budovách (zdroje elektrické energie – fotovoltaické systémy, větrné elektrárny, </w:t>
      </w:r>
      <w:proofErr w:type="spellStart"/>
      <w:r w:rsidRPr="00C56F86">
        <w:rPr>
          <w:rFonts w:ascii="Cambria" w:hAnsi="Cambria"/>
          <w:color w:val="000000"/>
          <w:sz w:val="22"/>
          <w:szCs w:val="22"/>
        </w:rPr>
        <w:t>mikrokogenerace</w:t>
      </w:r>
      <w:proofErr w:type="spellEnd"/>
      <w:r w:rsidRPr="00C56F86">
        <w:rPr>
          <w:rFonts w:ascii="Cambria" w:hAnsi="Cambria"/>
          <w:color w:val="000000"/>
          <w:sz w:val="22"/>
          <w:szCs w:val="22"/>
        </w:rPr>
        <w:t xml:space="preserve">, akumulace, zdroje tepla k vytápění a ohřevu </w:t>
      </w:r>
      <w:r w:rsidRPr="00C56F86">
        <w:rPr>
          <w:rFonts w:ascii="Cambria" w:hAnsi="Cambria"/>
          <w:color w:val="000000"/>
          <w:sz w:val="22"/>
          <w:szCs w:val="22"/>
        </w:rPr>
        <w:lastRenderedPageBreak/>
        <w:t>teplé vody - solární tepelné soustavy, tepelná čerpadla, kotle na spalování biopaliv, chlazení, klimatizační a větrací soustavy, otopné soustavy, příprava teplé vody, zpětné získávání tepla)</w:t>
      </w:r>
    </w:p>
    <w:p w14:paraId="089B8E8C"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Vnitřní vodovod (zdroje, vlastnosti a úprava vody, potřeba vody-výpočty, zásady projektování vnitřních rozvodů vody, vodovodní armatury, zařizovací předměty – osazování, vzájemná poloha, materiálové možnosti, výhody a nevýhody)</w:t>
      </w:r>
    </w:p>
    <w:p w14:paraId="52B85438"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Kanalizace (odpadní vody – druhy, splaškové odpadní vody, dešťové vody – výpočet množství, stokové sítě, objekty na stokových sítích, požadavky na kanalizační přípojku, bezpečná vzdálenost, světlost, sklon, dimenzování kanalizačního potrubí, malé čistírny odpadních vod – druhy a způsoby čištění, účinnost)</w:t>
      </w:r>
    </w:p>
    <w:p w14:paraId="0483CD80"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Navrhování otopných soustav (energetické výpočty, druhy otopných soustav, otopná tělesa, armatury, materiály potrubních rozvodů, kotelny, komíny)</w:t>
      </w:r>
    </w:p>
    <w:p w14:paraId="4F6F6338"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Větrání (princip a druhy přirozeného větrání, princip a druhy nuceného větrání, prvky vzduchotechnických systémů, schéma, názvosloví, stanovení průtoku pro větrání, potrubí, materiál, tvar, příslušenství, skladba vzduchotechnické jednotky</w:t>
      </w:r>
    </w:p>
    <w:p w14:paraId="7F3E2C43" w14:textId="77777777" w:rsidR="00C56F86" w:rsidRPr="00C56F86" w:rsidRDefault="00C56F86" w:rsidP="00C56F86">
      <w:pPr>
        <w:pStyle w:val="Normlnweb"/>
        <w:numPr>
          <w:ilvl w:val="0"/>
          <w:numId w:val="16"/>
        </w:numPr>
        <w:spacing w:after="200" w:afterAutospacing="0"/>
        <w:ind w:left="426" w:hanging="426"/>
        <w:jc w:val="both"/>
        <w:rPr>
          <w:rFonts w:ascii="Cambria" w:hAnsi="Cambria"/>
          <w:color w:val="000000"/>
          <w:sz w:val="22"/>
          <w:szCs w:val="22"/>
        </w:rPr>
      </w:pPr>
      <w:r w:rsidRPr="00C56F86">
        <w:rPr>
          <w:rFonts w:ascii="Cambria" w:hAnsi="Cambria"/>
          <w:color w:val="000000"/>
          <w:sz w:val="22"/>
          <w:szCs w:val="22"/>
        </w:rPr>
        <w:t xml:space="preserve">Klimatizace (tepelná zátěž z venkovního prostředí, tepelná zátěž od vnitřních zdrojů, systém výpočtu tepelné zátěže, vodní systémy s </w:t>
      </w:r>
      <w:proofErr w:type="spellStart"/>
      <w:r w:rsidRPr="00C56F86">
        <w:rPr>
          <w:rFonts w:ascii="Cambria" w:hAnsi="Cambria"/>
          <w:color w:val="000000"/>
          <w:sz w:val="22"/>
          <w:szCs w:val="22"/>
        </w:rPr>
        <w:t>fancoily</w:t>
      </w:r>
      <w:proofErr w:type="spellEnd"/>
      <w:r w:rsidRPr="00C56F86">
        <w:rPr>
          <w:rFonts w:ascii="Cambria" w:hAnsi="Cambria"/>
          <w:color w:val="000000"/>
          <w:sz w:val="22"/>
          <w:szCs w:val="22"/>
        </w:rPr>
        <w:t>, chladivový SPLIT systém)</w:t>
      </w:r>
    </w:p>
    <w:p w14:paraId="3812F845" w14:textId="77777777" w:rsidR="00903505" w:rsidRPr="00903505" w:rsidRDefault="00903505" w:rsidP="006374D5">
      <w:pPr>
        <w:spacing w:after="0"/>
      </w:pPr>
    </w:p>
    <w:p w14:paraId="4ACB4C0D" w14:textId="77777777" w:rsidR="006374D5" w:rsidRPr="006374D5" w:rsidRDefault="009170F7" w:rsidP="006374D5">
      <w:pPr>
        <w:rPr>
          <w:sz w:val="20"/>
          <w:szCs w:val="20"/>
        </w:rPr>
      </w:pPr>
      <w:r w:rsidRPr="00903505">
        <w:rPr>
          <w:rFonts w:eastAsia="Cambria" w:cs="Cambria"/>
          <w:b/>
          <w:bCs/>
          <w:sz w:val="32"/>
          <w:szCs w:val="32"/>
          <w:u w:val="single"/>
        </w:rPr>
        <w:t>Doporučená literatura</w:t>
      </w:r>
    </w:p>
    <w:p w14:paraId="42D7E6DB" w14:textId="77777777" w:rsidR="00C56F86" w:rsidRPr="00C56F86" w:rsidRDefault="00C56F86" w:rsidP="00C56F86">
      <w:pPr>
        <w:pStyle w:val="Normlnweb"/>
        <w:jc w:val="both"/>
        <w:rPr>
          <w:rFonts w:ascii="Cambria" w:hAnsi="Cambria"/>
          <w:color w:val="000000"/>
          <w:sz w:val="22"/>
          <w:szCs w:val="22"/>
        </w:rPr>
      </w:pPr>
      <w:r w:rsidRPr="00C56F86">
        <w:rPr>
          <w:rFonts w:ascii="Cambria" w:hAnsi="Cambria"/>
          <w:color w:val="000000"/>
          <w:sz w:val="22"/>
          <w:szCs w:val="22"/>
        </w:rPr>
        <w:t>BOŠOVÁ, Daniela a Lenka PROKOPOVÁ. Stavební fyzika I: osvětlení, oslunění, akustika budov. Praha: České vysoké učení technické v Praze, 2017. ISBN 978-80-01-06130-5.</w:t>
      </w:r>
    </w:p>
    <w:p w14:paraId="6FC038CC" w14:textId="77777777" w:rsidR="00C56F86" w:rsidRPr="00C56F86" w:rsidRDefault="00C56F86" w:rsidP="00C56F86">
      <w:pPr>
        <w:pStyle w:val="Normlnweb"/>
        <w:jc w:val="both"/>
        <w:rPr>
          <w:rFonts w:ascii="Cambria" w:hAnsi="Cambria"/>
          <w:color w:val="000000"/>
          <w:sz w:val="22"/>
          <w:szCs w:val="22"/>
        </w:rPr>
      </w:pPr>
      <w:r w:rsidRPr="00C56F86">
        <w:rPr>
          <w:rFonts w:ascii="Cambria" w:hAnsi="Cambria"/>
          <w:color w:val="000000"/>
          <w:sz w:val="22"/>
          <w:szCs w:val="22"/>
        </w:rPr>
        <w:t xml:space="preserve">BOŠOVÁ, Daniela a František KULHÁNEK. Stavební fyzika II: stavební tepelná technika. 6., </w:t>
      </w:r>
      <w:proofErr w:type="spellStart"/>
      <w:r w:rsidRPr="00C56F86">
        <w:rPr>
          <w:rFonts w:ascii="Cambria" w:hAnsi="Cambria"/>
          <w:color w:val="000000"/>
          <w:sz w:val="22"/>
          <w:szCs w:val="22"/>
        </w:rPr>
        <w:t>přeprac</w:t>
      </w:r>
      <w:proofErr w:type="spellEnd"/>
      <w:r w:rsidRPr="00C56F86">
        <w:rPr>
          <w:rFonts w:ascii="Cambria" w:hAnsi="Cambria"/>
          <w:color w:val="000000"/>
          <w:sz w:val="22"/>
          <w:szCs w:val="22"/>
        </w:rPr>
        <w:t>. vyd. V Praze: České vysoké učení technické, 2014. ISBN 978-80-01-05645-5.</w:t>
      </w:r>
    </w:p>
    <w:p w14:paraId="3C4FD0C3" w14:textId="77777777" w:rsidR="00C56F86" w:rsidRPr="00C56F86" w:rsidRDefault="00C56F86" w:rsidP="00C56F86">
      <w:pPr>
        <w:pStyle w:val="Normlnweb"/>
        <w:jc w:val="both"/>
        <w:rPr>
          <w:rFonts w:ascii="Cambria" w:hAnsi="Cambria"/>
          <w:color w:val="000000"/>
          <w:sz w:val="22"/>
          <w:szCs w:val="22"/>
        </w:rPr>
      </w:pPr>
      <w:r w:rsidRPr="00C56F86">
        <w:rPr>
          <w:rFonts w:ascii="Cambria" w:hAnsi="Cambria"/>
          <w:color w:val="000000"/>
          <w:sz w:val="22"/>
          <w:szCs w:val="22"/>
        </w:rPr>
        <w:t>VAVERKA, Jiří. Stavební tepelná technika a energetika budov. Brno: VUTIUM, 2006. ISBN 80-214-2910-0.</w:t>
      </w:r>
    </w:p>
    <w:p w14:paraId="5D089CFC" w14:textId="77777777" w:rsidR="00C56F86" w:rsidRPr="00C56F86" w:rsidRDefault="00C56F86" w:rsidP="00C56F86">
      <w:pPr>
        <w:pStyle w:val="Normlnweb"/>
        <w:jc w:val="both"/>
        <w:rPr>
          <w:rFonts w:ascii="Cambria" w:hAnsi="Cambria"/>
          <w:color w:val="000000"/>
          <w:sz w:val="22"/>
          <w:szCs w:val="22"/>
        </w:rPr>
      </w:pPr>
      <w:r w:rsidRPr="00C56F86">
        <w:rPr>
          <w:rFonts w:ascii="Cambria" w:hAnsi="Cambria"/>
          <w:color w:val="000000"/>
          <w:sz w:val="22"/>
          <w:szCs w:val="22"/>
        </w:rPr>
        <w:t>JUHÁSOVÁ ŠENITKOVÁ, Ingrid, Michal KRAUS a Petra NOVÁKOVÁ. Budovy a prostředí: Adresná identifikace, analýza výskytu a metodologie optimalizace vybraných složek vnitřního prostředí budov. České Budějovice: VŠTE v Českých Budějovicích, 2018, 278 s.</w:t>
      </w:r>
    </w:p>
    <w:p w14:paraId="2E7B48B7" w14:textId="77777777" w:rsidR="00C56F86" w:rsidRPr="00C56F86" w:rsidRDefault="00C56F86" w:rsidP="00C56F86">
      <w:pPr>
        <w:pStyle w:val="Normlnweb"/>
        <w:jc w:val="both"/>
        <w:rPr>
          <w:rFonts w:ascii="Cambria" w:hAnsi="Cambria"/>
          <w:color w:val="000000"/>
          <w:sz w:val="22"/>
          <w:szCs w:val="22"/>
        </w:rPr>
      </w:pPr>
      <w:r w:rsidRPr="00C56F86">
        <w:rPr>
          <w:rFonts w:ascii="Cambria" w:hAnsi="Cambria"/>
          <w:color w:val="000000"/>
          <w:sz w:val="22"/>
          <w:szCs w:val="22"/>
        </w:rPr>
        <w:t>JOKL, Miloslav. Zdravé obytné a pracovní prostředí. Praha: Academia, 2002. ISBN 80-200-0928-0.</w:t>
      </w:r>
    </w:p>
    <w:p w14:paraId="4AA14DCD" w14:textId="77777777" w:rsidR="00C56F86" w:rsidRPr="00C56F86" w:rsidRDefault="00C56F86" w:rsidP="00C56F86">
      <w:pPr>
        <w:pStyle w:val="Normlnweb"/>
        <w:jc w:val="both"/>
        <w:rPr>
          <w:rFonts w:ascii="Cambria" w:hAnsi="Cambria"/>
          <w:color w:val="000000"/>
          <w:sz w:val="22"/>
          <w:szCs w:val="22"/>
        </w:rPr>
      </w:pPr>
      <w:r w:rsidRPr="00C56F86">
        <w:rPr>
          <w:rFonts w:ascii="Cambria" w:hAnsi="Cambria"/>
          <w:color w:val="000000"/>
          <w:sz w:val="22"/>
          <w:szCs w:val="22"/>
        </w:rPr>
        <w:t>TYWONIAK, Jan. Nízkoenergetické domy 3: nulové, pasivní a další. Praha: Grada, 2012. Stavitel. ISBN 978-80-247-3832-1.</w:t>
      </w:r>
    </w:p>
    <w:p w14:paraId="29328997" w14:textId="77777777" w:rsidR="00C56F86" w:rsidRPr="00C56F86" w:rsidRDefault="00C56F86" w:rsidP="00C56F86">
      <w:pPr>
        <w:pStyle w:val="Normlnweb"/>
        <w:jc w:val="both"/>
        <w:rPr>
          <w:rFonts w:ascii="Cambria" w:hAnsi="Cambria"/>
          <w:color w:val="000000"/>
          <w:sz w:val="22"/>
          <w:szCs w:val="22"/>
        </w:rPr>
      </w:pPr>
      <w:r w:rsidRPr="00C56F86">
        <w:rPr>
          <w:rFonts w:ascii="Cambria" w:hAnsi="Cambria"/>
          <w:color w:val="000000"/>
          <w:sz w:val="22"/>
          <w:szCs w:val="22"/>
        </w:rPr>
        <w:t>TYWONIAK, Jan. Nízkoenergetické domy: principy a příklady. Praha: Grada, 2005. Stavitel. ISBN 80-247-1101-X.</w:t>
      </w:r>
    </w:p>
    <w:p w14:paraId="12D530B6" w14:textId="77777777" w:rsidR="00C56F86" w:rsidRPr="00C56F86" w:rsidRDefault="00C56F86" w:rsidP="00C56F86">
      <w:pPr>
        <w:pStyle w:val="Normlnweb"/>
        <w:jc w:val="both"/>
        <w:rPr>
          <w:rFonts w:ascii="Cambria" w:hAnsi="Cambria"/>
          <w:color w:val="000000"/>
          <w:sz w:val="22"/>
          <w:szCs w:val="22"/>
        </w:rPr>
      </w:pPr>
      <w:r w:rsidRPr="00C56F86">
        <w:rPr>
          <w:rFonts w:ascii="Cambria" w:hAnsi="Cambria"/>
          <w:color w:val="000000"/>
          <w:sz w:val="22"/>
          <w:szCs w:val="22"/>
        </w:rPr>
        <w:t>SVATOŠOVÁ, Irena. Technické zařízení budov I. Ostrava: Vysoká škola báňská - Technická univerzita, [2008]. ISBN 978-80-248-1479-7.</w:t>
      </w:r>
    </w:p>
    <w:p w14:paraId="17BA7B34" w14:textId="77777777" w:rsidR="00C56F86" w:rsidRPr="00C56F86" w:rsidRDefault="00C56F86" w:rsidP="00C56F86">
      <w:pPr>
        <w:pStyle w:val="Normlnweb"/>
        <w:jc w:val="both"/>
        <w:rPr>
          <w:rFonts w:ascii="Cambria" w:hAnsi="Cambria"/>
          <w:color w:val="000000"/>
          <w:sz w:val="22"/>
          <w:szCs w:val="22"/>
        </w:rPr>
      </w:pPr>
      <w:r w:rsidRPr="00C56F86">
        <w:rPr>
          <w:rFonts w:ascii="Cambria" w:hAnsi="Cambria"/>
          <w:color w:val="000000"/>
          <w:sz w:val="22"/>
          <w:szCs w:val="22"/>
        </w:rPr>
        <w:t>PAPEŽ, Karel. Energetické a ekologické systémy budov 2: vzduchotechnika, chlazení, elektroinstalace a osvětlení. Praha: Nakladatelství ČVUT, 2007. ISBN 978-80-01-03622-8.</w:t>
      </w:r>
    </w:p>
    <w:p w14:paraId="68153F7F" w14:textId="77777777" w:rsidR="00C56F86" w:rsidRPr="00C56F86" w:rsidRDefault="00C56F86" w:rsidP="00C56F86">
      <w:pPr>
        <w:pStyle w:val="Normlnweb"/>
        <w:jc w:val="both"/>
        <w:rPr>
          <w:rFonts w:ascii="Cambria" w:hAnsi="Cambria"/>
          <w:color w:val="000000"/>
          <w:sz w:val="22"/>
          <w:szCs w:val="22"/>
        </w:rPr>
      </w:pPr>
      <w:r w:rsidRPr="00C56F86">
        <w:rPr>
          <w:rFonts w:ascii="Cambria" w:hAnsi="Cambria"/>
          <w:color w:val="000000"/>
          <w:sz w:val="22"/>
          <w:szCs w:val="22"/>
        </w:rPr>
        <w:t>VRÁNA, Jakub. Technická zařízení budov v praxi: [příručka pro stavaře]. Praha: Grada, 2007. Stavitel. ISBN 978-80-247-1588-9.</w:t>
      </w:r>
    </w:p>
    <w:p w14:paraId="1231E187" w14:textId="77777777" w:rsidR="00C56F86" w:rsidRPr="00C56F86" w:rsidRDefault="00C56F86" w:rsidP="00C56F86">
      <w:pPr>
        <w:pStyle w:val="Normlnweb"/>
        <w:jc w:val="both"/>
        <w:rPr>
          <w:rFonts w:ascii="Cambria" w:hAnsi="Cambria"/>
          <w:color w:val="000000"/>
          <w:sz w:val="22"/>
          <w:szCs w:val="22"/>
        </w:rPr>
      </w:pPr>
      <w:r w:rsidRPr="00C56F86">
        <w:rPr>
          <w:rFonts w:ascii="Cambria" w:hAnsi="Cambria"/>
          <w:color w:val="000000"/>
          <w:sz w:val="22"/>
          <w:szCs w:val="22"/>
        </w:rPr>
        <w:t xml:space="preserve">DUFKA, Jaroslav. Vytápění domů a bytů. 2., zcela </w:t>
      </w:r>
      <w:proofErr w:type="spellStart"/>
      <w:r w:rsidRPr="00C56F86">
        <w:rPr>
          <w:rFonts w:ascii="Cambria" w:hAnsi="Cambria"/>
          <w:color w:val="000000"/>
          <w:sz w:val="22"/>
          <w:szCs w:val="22"/>
        </w:rPr>
        <w:t>přeprac</w:t>
      </w:r>
      <w:proofErr w:type="spellEnd"/>
      <w:r w:rsidRPr="00C56F86">
        <w:rPr>
          <w:rFonts w:ascii="Cambria" w:hAnsi="Cambria"/>
          <w:color w:val="000000"/>
          <w:sz w:val="22"/>
          <w:szCs w:val="22"/>
        </w:rPr>
        <w:t>. vyd. Praha: Grada, 2004. Profi &amp; hobby. ISBN 80-247-0642-3.</w:t>
      </w:r>
    </w:p>
    <w:p w14:paraId="3FD57A65" w14:textId="1B49BA44" w:rsidR="002A4E24" w:rsidRPr="006374D5" w:rsidRDefault="00C56F86" w:rsidP="00A5110A">
      <w:pPr>
        <w:pStyle w:val="Normlnweb"/>
        <w:jc w:val="both"/>
        <w:rPr>
          <w:color w:val="000000"/>
          <w:shd w:val="clear" w:color="auto" w:fill="FFFFFF"/>
          <w:lang w:val="en-GB"/>
        </w:rPr>
      </w:pPr>
      <w:r w:rsidRPr="00C56F86">
        <w:rPr>
          <w:rFonts w:ascii="Cambria" w:hAnsi="Cambria"/>
          <w:color w:val="000000"/>
          <w:sz w:val="22"/>
          <w:szCs w:val="22"/>
        </w:rPr>
        <w:t>VRÁNA, Jakub. Voda a kanalizace v domě a v bytě: instalatérské práce. Praha: Grada, 2005. Profi &amp; hobby. ISBN 80-247-0800-0.</w:t>
      </w:r>
    </w:p>
    <w:sectPr w:rsidR="002A4E24" w:rsidRPr="006374D5" w:rsidSect="002A4E24">
      <w:footerReference w:type="default" r:id="rId8"/>
      <w:pgSz w:w="11906" w:h="16838"/>
      <w:pgMar w:top="426" w:right="849" w:bottom="426" w:left="851" w:header="708" w:footer="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23BE3" w14:textId="77777777" w:rsidR="007E5055" w:rsidRDefault="007E5055" w:rsidP="002A4E24">
      <w:pPr>
        <w:spacing w:after="0" w:line="240" w:lineRule="auto"/>
      </w:pPr>
      <w:r>
        <w:separator/>
      </w:r>
    </w:p>
  </w:endnote>
  <w:endnote w:type="continuationSeparator" w:id="0">
    <w:p w14:paraId="32E2B0EC" w14:textId="77777777" w:rsidR="007E5055" w:rsidRDefault="007E5055" w:rsidP="002A4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C51A5" w14:textId="77777777" w:rsidR="002A4E24" w:rsidRPr="007B19AE" w:rsidRDefault="002A4E24" w:rsidP="002A4E24">
    <w:pPr>
      <w:ind w:right="20"/>
      <w:jc w:val="center"/>
      <w:rPr>
        <w:sz w:val="20"/>
        <w:szCs w:val="20"/>
      </w:rPr>
    </w:pPr>
    <w:r>
      <w:rPr>
        <w:rFonts w:eastAsia="Cambria" w:cs="Cambria"/>
        <w:color w:val="808080"/>
        <w:sz w:val="20"/>
        <w:szCs w:val="20"/>
      </w:rPr>
      <w:t>Okružní 10, 370 01 České Budějovice | www.vstecb.cz | is.vstecb.cz | nahlikova@mail.vstecb.cz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283CEF" w14:textId="77777777" w:rsidR="007E5055" w:rsidRDefault="007E5055" w:rsidP="002A4E24">
      <w:pPr>
        <w:spacing w:after="0" w:line="240" w:lineRule="auto"/>
      </w:pPr>
      <w:r>
        <w:separator/>
      </w:r>
    </w:p>
  </w:footnote>
  <w:footnote w:type="continuationSeparator" w:id="0">
    <w:p w14:paraId="1E783D08" w14:textId="77777777" w:rsidR="007E5055" w:rsidRDefault="007E5055" w:rsidP="002A4E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67CBA2C"/>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3933AFB"/>
    <w:multiLevelType w:val="hybridMultilevel"/>
    <w:tmpl w:val="EEC212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F04846"/>
    <w:multiLevelType w:val="hybridMultilevel"/>
    <w:tmpl w:val="B746838C"/>
    <w:lvl w:ilvl="0" w:tplc="508448B2">
      <w:numFmt w:val="bullet"/>
      <w:lvlText w:val="ↄ"/>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8A1DCA"/>
    <w:multiLevelType w:val="hybridMultilevel"/>
    <w:tmpl w:val="065A0454"/>
    <w:lvl w:ilvl="0" w:tplc="041B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000713"/>
    <w:multiLevelType w:val="hybridMultilevel"/>
    <w:tmpl w:val="946C7B82"/>
    <w:lvl w:ilvl="0" w:tplc="D9624496">
      <w:numFmt w:val="bullet"/>
      <w:lvlText w:val=""/>
      <w:lvlJc w:val="left"/>
      <w:pPr>
        <w:ind w:left="720" w:hanging="360"/>
      </w:pPr>
      <w:rPr>
        <w:rFonts w:ascii="Symbol" w:eastAsia="Calibri"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EB141F2"/>
    <w:multiLevelType w:val="hybridMultilevel"/>
    <w:tmpl w:val="90C8E94C"/>
    <w:lvl w:ilvl="0" w:tplc="9AC6056A">
      <w:start w:val="1"/>
      <w:numFmt w:val="bullet"/>
      <w:lvlText w:val=""/>
      <w:lvlJc w:val="left"/>
      <w:pPr>
        <w:ind w:left="0" w:firstLine="0"/>
      </w:pPr>
    </w:lvl>
    <w:lvl w:ilvl="1" w:tplc="0FDE2632">
      <w:numFmt w:val="decimal"/>
      <w:lvlText w:val=""/>
      <w:lvlJc w:val="left"/>
      <w:pPr>
        <w:ind w:left="0" w:firstLine="0"/>
      </w:pPr>
    </w:lvl>
    <w:lvl w:ilvl="2" w:tplc="BD42012C">
      <w:numFmt w:val="decimal"/>
      <w:lvlText w:val=""/>
      <w:lvlJc w:val="left"/>
      <w:pPr>
        <w:ind w:left="0" w:firstLine="0"/>
      </w:pPr>
    </w:lvl>
    <w:lvl w:ilvl="3" w:tplc="6D8607DA">
      <w:numFmt w:val="decimal"/>
      <w:lvlText w:val=""/>
      <w:lvlJc w:val="left"/>
      <w:pPr>
        <w:ind w:left="0" w:firstLine="0"/>
      </w:pPr>
    </w:lvl>
    <w:lvl w:ilvl="4" w:tplc="8440F6EC">
      <w:numFmt w:val="decimal"/>
      <w:lvlText w:val=""/>
      <w:lvlJc w:val="left"/>
      <w:pPr>
        <w:ind w:left="0" w:firstLine="0"/>
      </w:pPr>
    </w:lvl>
    <w:lvl w:ilvl="5" w:tplc="65606F7A">
      <w:numFmt w:val="decimal"/>
      <w:lvlText w:val=""/>
      <w:lvlJc w:val="left"/>
      <w:pPr>
        <w:ind w:left="0" w:firstLine="0"/>
      </w:pPr>
    </w:lvl>
    <w:lvl w:ilvl="6" w:tplc="0CDCC36C">
      <w:numFmt w:val="decimal"/>
      <w:lvlText w:val=""/>
      <w:lvlJc w:val="left"/>
      <w:pPr>
        <w:ind w:left="0" w:firstLine="0"/>
      </w:pPr>
    </w:lvl>
    <w:lvl w:ilvl="7" w:tplc="7B90DD5C">
      <w:numFmt w:val="decimal"/>
      <w:lvlText w:val=""/>
      <w:lvlJc w:val="left"/>
      <w:pPr>
        <w:ind w:left="0" w:firstLine="0"/>
      </w:pPr>
    </w:lvl>
    <w:lvl w:ilvl="8" w:tplc="BC50D38C">
      <w:numFmt w:val="decimal"/>
      <w:lvlText w:val=""/>
      <w:lvlJc w:val="left"/>
      <w:pPr>
        <w:ind w:left="0" w:firstLine="0"/>
      </w:pPr>
    </w:lvl>
  </w:abstractNum>
  <w:abstractNum w:abstractNumId="6" w15:restartNumberingAfterBreak="0">
    <w:nsid w:val="327B23C6"/>
    <w:multiLevelType w:val="hybridMultilevel"/>
    <w:tmpl w:val="A54273F6"/>
    <w:lvl w:ilvl="0" w:tplc="2E7A59B2">
      <w:start w:val="1"/>
      <w:numFmt w:val="decimal"/>
      <w:lvlText w:val="%1."/>
      <w:lvlJc w:val="left"/>
      <w:pPr>
        <w:ind w:left="0" w:firstLine="0"/>
      </w:pPr>
    </w:lvl>
    <w:lvl w:ilvl="1" w:tplc="86249F90">
      <w:numFmt w:val="decimal"/>
      <w:lvlText w:val=""/>
      <w:lvlJc w:val="left"/>
      <w:pPr>
        <w:ind w:left="0" w:firstLine="0"/>
      </w:pPr>
    </w:lvl>
    <w:lvl w:ilvl="2" w:tplc="E2880744">
      <w:numFmt w:val="decimal"/>
      <w:lvlText w:val=""/>
      <w:lvlJc w:val="left"/>
      <w:pPr>
        <w:ind w:left="0" w:firstLine="0"/>
      </w:pPr>
    </w:lvl>
    <w:lvl w:ilvl="3" w:tplc="0BDE8EF0">
      <w:numFmt w:val="decimal"/>
      <w:lvlText w:val=""/>
      <w:lvlJc w:val="left"/>
      <w:pPr>
        <w:ind w:left="0" w:firstLine="0"/>
      </w:pPr>
    </w:lvl>
    <w:lvl w:ilvl="4" w:tplc="20907CD8">
      <w:numFmt w:val="decimal"/>
      <w:lvlText w:val=""/>
      <w:lvlJc w:val="left"/>
      <w:pPr>
        <w:ind w:left="0" w:firstLine="0"/>
      </w:pPr>
    </w:lvl>
    <w:lvl w:ilvl="5" w:tplc="038C5292">
      <w:numFmt w:val="decimal"/>
      <w:lvlText w:val=""/>
      <w:lvlJc w:val="left"/>
      <w:pPr>
        <w:ind w:left="0" w:firstLine="0"/>
      </w:pPr>
    </w:lvl>
    <w:lvl w:ilvl="6" w:tplc="403A5CA8">
      <w:numFmt w:val="decimal"/>
      <w:lvlText w:val=""/>
      <w:lvlJc w:val="left"/>
      <w:pPr>
        <w:ind w:left="0" w:firstLine="0"/>
      </w:pPr>
    </w:lvl>
    <w:lvl w:ilvl="7" w:tplc="01CEAFFE">
      <w:numFmt w:val="decimal"/>
      <w:lvlText w:val=""/>
      <w:lvlJc w:val="left"/>
      <w:pPr>
        <w:ind w:left="0" w:firstLine="0"/>
      </w:pPr>
    </w:lvl>
    <w:lvl w:ilvl="8" w:tplc="4F3ACA92">
      <w:numFmt w:val="decimal"/>
      <w:lvlText w:val=""/>
      <w:lvlJc w:val="left"/>
      <w:pPr>
        <w:ind w:left="0" w:firstLine="0"/>
      </w:pPr>
    </w:lvl>
  </w:abstractNum>
  <w:abstractNum w:abstractNumId="7" w15:restartNumberingAfterBreak="0">
    <w:nsid w:val="3BA025B0"/>
    <w:multiLevelType w:val="hybridMultilevel"/>
    <w:tmpl w:val="1F64AA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0D157A5"/>
    <w:multiLevelType w:val="hybridMultilevel"/>
    <w:tmpl w:val="303844D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15:restartNumberingAfterBreak="0">
    <w:nsid w:val="41B71EFB"/>
    <w:multiLevelType w:val="hybridMultilevel"/>
    <w:tmpl w:val="2D58F60C"/>
    <w:lvl w:ilvl="0" w:tplc="B4B63790">
      <w:start w:val="1"/>
      <w:numFmt w:val="bullet"/>
      <w:lvlText w:val=""/>
      <w:lvlJc w:val="left"/>
      <w:pPr>
        <w:ind w:left="0" w:firstLine="0"/>
      </w:pPr>
    </w:lvl>
    <w:lvl w:ilvl="1" w:tplc="E34A28B8">
      <w:numFmt w:val="decimal"/>
      <w:lvlText w:val=""/>
      <w:lvlJc w:val="left"/>
      <w:pPr>
        <w:ind w:left="0" w:firstLine="0"/>
      </w:pPr>
    </w:lvl>
    <w:lvl w:ilvl="2" w:tplc="8BAE197E">
      <w:numFmt w:val="decimal"/>
      <w:lvlText w:val=""/>
      <w:lvlJc w:val="left"/>
      <w:pPr>
        <w:ind w:left="0" w:firstLine="0"/>
      </w:pPr>
    </w:lvl>
    <w:lvl w:ilvl="3" w:tplc="79E2512C">
      <w:numFmt w:val="decimal"/>
      <w:lvlText w:val=""/>
      <w:lvlJc w:val="left"/>
      <w:pPr>
        <w:ind w:left="0" w:firstLine="0"/>
      </w:pPr>
    </w:lvl>
    <w:lvl w:ilvl="4" w:tplc="7CE84A88">
      <w:numFmt w:val="decimal"/>
      <w:lvlText w:val=""/>
      <w:lvlJc w:val="left"/>
      <w:pPr>
        <w:ind w:left="0" w:firstLine="0"/>
      </w:pPr>
    </w:lvl>
    <w:lvl w:ilvl="5" w:tplc="92006C92">
      <w:numFmt w:val="decimal"/>
      <w:lvlText w:val=""/>
      <w:lvlJc w:val="left"/>
      <w:pPr>
        <w:ind w:left="0" w:firstLine="0"/>
      </w:pPr>
    </w:lvl>
    <w:lvl w:ilvl="6" w:tplc="A8D6BEAC">
      <w:numFmt w:val="decimal"/>
      <w:lvlText w:val=""/>
      <w:lvlJc w:val="left"/>
      <w:pPr>
        <w:ind w:left="0" w:firstLine="0"/>
      </w:pPr>
    </w:lvl>
    <w:lvl w:ilvl="7" w:tplc="49B4FAF2">
      <w:numFmt w:val="decimal"/>
      <w:lvlText w:val=""/>
      <w:lvlJc w:val="left"/>
      <w:pPr>
        <w:ind w:left="0" w:firstLine="0"/>
      </w:pPr>
    </w:lvl>
    <w:lvl w:ilvl="8" w:tplc="AF2CAC60">
      <w:numFmt w:val="decimal"/>
      <w:lvlText w:val=""/>
      <w:lvlJc w:val="left"/>
      <w:pPr>
        <w:ind w:left="0" w:firstLine="0"/>
      </w:pPr>
    </w:lvl>
  </w:abstractNum>
  <w:abstractNum w:abstractNumId="10" w15:restartNumberingAfterBreak="0">
    <w:nsid w:val="4315328B"/>
    <w:multiLevelType w:val="hybridMultilevel"/>
    <w:tmpl w:val="7388B312"/>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1" w15:restartNumberingAfterBreak="0">
    <w:nsid w:val="46E87CCD"/>
    <w:multiLevelType w:val="hybridMultilevel"/>
    <w:tmpl w:val="A8C4DE28"/>
    <w:lvl w:ilvl="0" w:tplc="4F68C1EA">
      <w:start w:val="1"/>
      <w:numFmt w:val="decimal"/>
      <w:lvlText w:val="%1."/>
      <w:lvlJc w:val="left"/>
      <w:pPr>
        <w:ind w:left="0" w:firstLine="0"/>
      </w:pPr>
    </w:lvl>
    <w:lvl w:ilvl="1" w:tplc="BC92DC94">
      <w:numFmt w:val="decimal"/>
      <w:lvlText w:val=""/>
      <w:lvlJc w:val="left"/>
      <w:pPr>
        <w:ind w:left="0" w:firstLine="0"/>
      </w:pPr>
    </w:lvl>
    <w:lvl w:ilvl="2" w:tplc="A144167A">
      <w:numFmt w:val="decimal"/>
      <w:lvlText w:val=""/>
      <w:lvlJc w:val="left"/>
      <w:pPr>
        <w:ind w:left="0" w:firstLine="0"/>
      </w:pPr>
    </w:lvl>
    <w:lvl w:ilvl="3" w:tplc="B254CA94">
      <w:numFmt w:val="decimal"/>
      <w:lvlText w:val=""/>
      <w:lvlJc w:val="left"/>
      <w:pPr>
        <w:ind w:left="0" w:firstLine="0"/>
      </w:pPr>
    </w:lvl>
    <w:lvl w:ilvl="4" w:tplc="3782FBB4">
      <w:numFmt w:val="decimal"/>
      <w:lvlText w:val=""/>
      <w:lvlJc w:val="left"/>
      <w:pPr>
        <w:ind w:left="0" w:firstLine="0"/>
      </w:pPr>
    </w:lvl>
    <w:lvl w:ilvl="5" w:tplc="C7EC356C">
      <w:numFmt w:val="decimal"/>
      <w:lvlText w:val=""/>
      <w:lvlJc w:val="left"/>
      <w:pPr>
        <w:ind w:left="0" w:firstLine="0"/>
      </w:pPr>
    </w:lvl>
    <w:lvl w:ilvl="6" w:tplc="F1CEFEAE">
      <w:numFmt w:val="decimal"/>
      <w:lvlText w:val=""/>
      <w:lvlJc w:val="left"/>
      <w:pPr>
        <w:ind w:left="0" w:firstLine="0"/>
      </w:pPr>
    </w:lvl>
    <w:lvl w:ilvl="7" w:tplc="053418A0">
      <w:numFmt w:val="decimal"/>
      <w:lvlText w:val=""/>
      <w:lvlJc w:val="left"/>
      <w:pPr>
        <w:ind w:left="0" w:firstLine="0"/>
      </w:pPr>
    </w:lvl>
    <w:lvl w:ilvl="8" w:tplc="0EF63E04">
      <w:numFmt w:val="decimal"/>
      <w:lvlText w:val=""/>
      <w:lvlJc w:val="left"/>
      <w:pPr>
        <w:ind w:left="0" w:firstLine="0"/>
      </w:pPr>
    </w:lvl>
  </w:abstractNum>
  <w:abstractNum w:abstractNumId="12" w15:restartNumberingAfterBreak="0">
    <w:nsid w:val="69B46802"/>
    <w:multiLevelType w:val="hybridMultilevel"/>
    <w:tmpl w:val="DD5E14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22F53A9"/>
    <w:multiLevelType w:val="hybridMultilevel"/>
    <w:tmpl w:val="6212A076"/>
    <w:lvl w:ilvl="0" w:tplc="041B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545E146"/>
    <w:multiLevelType w:val="hybridMultilevel"/>
    <w:tmpl w:val="F66E7976"/>
    <w:lvl w:ilvl="0" w:tplc="0944E6FE">
      <w:start w:val="1"/>
      <w:numFmt w:val="bullet"/>
      <w:lvlText w:val=""/>
      <w:lvlJc w:val="left"/>
      <w:pPr>
        <w:ind w:left="0" w:firstLine="0"/>
      </w:pPr>
    </w:lvl>
    <w:lvl w:ilvl="1" w:tplc="4F8E7014">
      <w:numFmt w:val="decimal"/>
      <w:lvlText w:val=""/>
      <w:lvlJc w:val="left"/>
      <w:pPr>
        <w:ind w:left="0" w:firstLine="0"/>
      </w:pPr>
    </w:lvl>
    <w:lvl w:ilvl="2" w:tplc="18B0730A">
      <w:numFmt w:val="decimal"/>
      <w:lvlText w:val=""/>
      <w:lvlJc w:val="left"/>
      <w:pPr>
        <w:ind w:left="0" w:firstLine="0"/>
      </w:pPr>
    </w:lvl>
    <w:lvl w:ilvl="3" w:tplc="D08620E8">
      <w:numFmt w:val="decimal"/>
      <w:lvlText w:val=""/>
      <w:lvlJc w:val="left"/>
      <w:pPr>
        <w:ind w:left="0" w:firstLine="0"/>
      </w:pPr>
    </w:lvl>
    <w:lvl w:ilvl="4" w:tplc="DC64ABE2">
      <w:numFmt w:val="decimal"/>
      <w:lvlText w:val=""/>
      <w:lvlJc w:val="left"/>
      <w:pPr>
        <w:ind w:left="0" w:firstLine="0"/>
      </w:pPr>
    </w:lvl>
    <w:lvl w:ilvl="5" w:tplc="9C6694AC">
      <w:numFmt w:val="decimal"/>
      <w:lvlText w:val=""/>
      <w:lvlJc w:val="left"/>
      <w:pPr>
        <w:ind w:left="0" w:firstLine="0"/>
      </w:pPr>
    </w:lvl>
    <w:lvl w:ilvl="6" w:tplc="1D9654AC">
      <w:numFmt w:val="decimal"/>
      <w:lvlText w:val=""/>
      <w:lvlJc w:val="left"/>
      <w:pPr>
        <w:ind w:left="0" w:firstLine="0"/>
      </w:pPr>
    </w:lvl>
    <w:lvl w:ilvl="7" w:tplc="CDB664B0">
      <w:numFmt w:val="decimal"/>
      <w:lvlText w:val=""/>
      <w:lvlJc w:val="left"/>
      <w:pPr>
        <w:ind w:left="0" w:firstLine="0"/>
      </w:pPr>
    </w:lvl>
    <w:lvl w:ilvl="8" w:tplc="3CDAF052">
      <w:numFmt w:val="decimal"/>
      <w:lvlText w:val=""/>
      <w:lvlJc w:val="left"/>
      <w:pPr>
        <w:ind w:left="0" w:firstLine="0"/>
      </w:pPr>
    </w:lvl>
  </w:abstractNum>
  <w:abstractNum w:abstractNumId="15" w15:restartNumberingAfterBreak="0">
    <w:nsid w:val="79E2A9E3"/>
    <w:multiLevelType w:val="hybridMultilevel"/>
    <w:tmpl w:val="7B889DE0"/>
    <w:lvl w:ilvl="0" w:tplc="3A7E4A46">
      <w:start w:val="1"/>
      <w:numFmt w:val="bullet"/>
      <w:lvlText w:val=""/>
      <w:lvlJc w:val="left"/>
      <w:pPr>
        <w:ind w:left="0" w:firstLine="0"/>
      </w:pPr>
    </w:lvl>
    <w:lvl w:ilvl="1" w:tplc="CF42B588">
      <w:numFmt w:val="decimal"/>
      <w:lvlText w:val=""/>
      <w:lvlJc w:val="left"/>
      <w:pPr>
        <w:ind w:left="0" w:firstLine="0"/>
      </w:pPr>
    </w:lvl>
    <w:lvl w:ilvl="2" w:tplc="B9103B0A">
      <w:numFmt w:val="decimal"/>
      <w:lvlText w:val=""/>
      <w:lvlJc w:val="left"/>
      <w:pPr>
        <w:ind w:left="0" w:firstLine="0"/>
      </w:pPr>
    </w:lvl>
    <w:lvl w:ilvl="3" w:tplc="6024A9AC">
      <w:numFmt w:val="decimal"/>
      <w:lvlText w:val=""/>
      <w:lvlJc w:val="left"/>
      <w:pPr>
        <w:ind w:left="0" w:firstLine="0"/>
      </w:pPr>
    </w:lvl>
    <w:lvl w:ilvl="4" w:tplc="AC44588A">
      <w:numFmt w:val="decimal"/>
      <w:lvlText w:val=""/>
      <w:lvlJc w:val="left"/>
      <w:pPr>
        <w:ind w:left="0" w:firstLine="0"/>
      </w:pPr>
    </w:lvl>
    <w:lvl w:ilvl="5" w:tplc="199E0A58">
      <w:numFmt w:val="decimal"/>
      <w:lvlText w:val=""/>
      <w:lvlJc w:val="left"/>
      <w:pPr>
        <w:ind w:left="0" w:firstLine="0"/>
      </w:pPr>
    </w:lvl>
    <w:lvl w:ilvl="6" w:tplc="29EC867E">
      <w:numFmt w:val="decimal"/>
      <w:lvlText w:val=""/>
      <w:lvlJc w:val="left"/>
      <w:pPr>
        <w:ind w:left="0" w:firstLine="0"/>
      </w:pPr>
    </w:lvl>
    <w:lvl w:ilvl="7" w:tplc="FB06C81E">
      <w:numFmt w:val="decimal"/>
      <w:lvlText w:val=""/>
      <w:lvlJc w:val="left"/>
      <w:pPr>
        <w:ind w:left="0" w:firstLine="0"/>
      </w:pPr>
    </w:lvl>
    <w:lvl w:ilvl="8" w:tplc="E1FAB23A">
      <w:numFmt w:val="decimal"/>
      <w:lvlText w:val=""/>
      <w:lvlJc w:val="left"/>
      <w:pPr>
        <w:ind w:left="0" w:firstLine="0"/>
      </w:pPr>
    </w:lvl>
  </w:abstractNum>
  <w:num w:numId="1" w16cid:durableId="1108888631">
    <w:abstractNumId w:val="7"/>
  </w:num>
  <w:num w:numId="2" w16cid:durableId="409082918">
    <w:abstractNumId w:val="4"/>
  </w:num>
  <w:num w:numId="3" w16cid:durableId="1578127005">
    <w:abstractNumId w:val="2"/>
  </w:num>
  <w:num w:numId="4" w16cid:durableId="1184972935">
    <w:abstractNumId w:val="0"/>
  </w:num>
  <w:num w:numId="5" w16cid:durableId="555051988">
    <w:abstractNumId w:val="6"/>
    <w:lvlOverride w:ilvl="0">
      <w:startOverride w:val="1"/>
    </w:lvlOverride>
    <w:lvlOverride w:ilvl="1"/>
    <w:lvlOverride w:ilvl="2"/>
    <w:lvlOverride w:ilvl="3"/>
    <w:lvlOverride w:ilvl="4"/>
    <w:lvlOverride w:ilvl="5"/>
    <w:lvlOverride w:ilvl="6"/>
    <w:lvlOverride w:ilvl="7"/>
    <w:lvlOverride w:ilvl="8"/>
  </w:num>
  <w:num w:numId="6" w16cid:durableId="1135831798">
    <w:abstractNumId w:val="11"/>
    <w:lvlOverride w:ilvl="0">
      <w:startOverride w:val="1"/>
    </w:lvlOverride>
    <w:lvlOverride w:ilvl="1"/>
    <w:lvlOverride w:ilvl="2"/>
    <w:lvlOverride w:ilvl="3"/>
    <w:lvlOverride w:ilvl="4"/>
    <w:lvlOverride w:ilvl="5"/>
    <w:lvlOverride w:ilvl="6"/>
    <w:lvlOverride w:ilvl="7"/>
    <w:lvlOverride w:ilvl="8"/>
  </w:num>
  <w:num w:numId="7" w16cid:durableId="1509981182">
    <w:abstractNumId w:val="5"/>
  </w:num>
  <w:num w:numId="8" w16cid:durableId="445467686">
    <w:abstractNumId w:val="10"/>
  </w:num>
  <w:num w:numId="9" w16cid:durableId="2059039493">
    <w:abstractNumId w:val="9"/>
  </w:num>
  <w:num w:numId="10" w16cid:durableId="1825272330">
    <w:abstractNumId w:val="15"/>
  </w:num>
  <w:num w:numId="11" w16cid:durableId="1656641909">
    <w:abstractNumId w:val="14"/>
  </w:num>
  <w:num w:numId="12" w16cid:durableId="8762402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02718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041829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4727564">
    <w:abstractNumId w:val="12"/>
  </w:num>
  <w:num w:numId="16" w16cid:durableId="866483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1B4"/>
    <w:rsid w:val="000F481B"/>
    <w:rsid w:val="001259E6"/>
    <w:rsid w:val="001635DA"/>
    <w:rsid w:val="001F4A70"/>
    <w:rsid w:val="00200CF8"/>
    <w:rsid w:val="002A4E24"/>
    <w:rsid w:val="003803BB"/>
    <w:rsid w:val="00397B28"/>
    <w:rsid w:val="004321DA"/>
    <w:rsid w:val="0045447E"/>
    <w:rsid w:val="004D37C1"/>
    <w:rsid w:val="005D209C"/>
    <w:rsid w:val="006374D5"/>
    <w:rsid w:val="00760083"/>
    <w:rsid w:val="00763BC1"/>
    <w:rsid w:val="00775615"/>
    <w:rsid w:val="007B2F8F"/>
    <w:rsid w:val="007E5055"/>
    <w:rsid w:val="008A0376"/>
    <w:rsid w:val="00903505"/>
    <w:rsid w:val="009170F7"/>
    <w:rsid w:val="00972730"/>
    <w:rsid w:val="00A5110A"/>
    <w:rsid w:val="00B327F4"/>
    <w:rsid w:val="00B35719"/>
    <w:rsid w:val="00C055BE"/>
    <w:rsid w:val="00C56F86"/>
    <w:rsid w:val="00CB6DD1"/>
    <w:rsid w:val="00D23D27"/>
    <w:rsid w:val="00D378B6"/>
    <w:rsid w:val="00E126C3"/>
    <w:rsid w:val="00E431B4"/>
    <w:rsid w:val="00E4709E"/>
    <w:rsid w:val="00EC1DB7"/>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ED306"/>
  <w15:docId w15:val="{8F56FD98-B494-4C4F-BB1B-3F026A57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31B4"/>
    <w:pPr>
      <w:jc w:val="both"/>
    </w:pPr>
    <w:rPr>
      <w:rFonts w:ascii="Cambria" w:eastAsia="Calibri" w:hAnsi="Cambria" w:cs="Times New Roman"/>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431B4"/>
    <w:pPr>
      <w:tabs>
        <w:tab w:val="center" w:pos="4536"/>
        <w:tab w:val="right" w:pos="9072"/>
      </w:tabs>
      <w:spacing w:after="0" w:line="240" w:lineRule="auto"/>
    </w:pPr>
    <w:rPr>
      <w:rFonts w:ascii="Calibri" w:hAnsi="Calibri"/>
    </w:rPr>
  </w:style>
  <w:style w:type="character" w:customStyle="1" w:styleId="ZhlavChar">
    <w:name w:val="Záhlaví Char"/>
    <w:basedOn w:val="Standardnpsmoodstavce"/>
    <w:link w:val="Zhlav"/>
    <w:uiPriority w:val="99"/>
    <w:rsid w:val="00E431B4"/>
    <w:rPr>
      <w:rFonts w:ascii="Calibri" w:eastAsia="Calibri" w:hAnsi="Calibri" w:cs="Times New Roman"/>
      <w:lang w:eastAsia="en-US"/>
    </w:rPr>
  </w:style>
  <w:style w:type="paragraph" w:styleId="Odstavecseseznamem">
    <w:name w:val="List Paragraph"/>
    <w:basedOn w:val="Normln"/>
    <w:uiPriority w:val="34"/>
    <w:qFormat/>
    <w:rsid w:val="00E431B4"/>
    <w:pPr>
      <w:ind w:left="720"/>
      <w:contextualSpacing/>
    </w:pPr>
  </w:style>
  <w:style w:type="table" w:styleId="Mkatabulky">
    <w:name w:val="Table Grid"/>
    <w:basedOn w:val="Normlntabulka"/>
    <w:uiPriority w:val="59"/>
    <w:rsid w:val="00E431B4"/>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
    <w:name w:val="List Bullet"/>
    <w:basedOn w:val="Normln"/>
    <w:uiPriority w:val="99"/>
    <w:semiHidden/>
    <w:unhideWhenUsed/>
    <w:rsid w:val="007B2F8F"/>
    <w:pPr>
      <w:numPr>
        <w:numId w:val="4"/>
      </w:numPr>
      <w:spacing w:after="0" w:line="240" w:lineRule="auto"/>
      <w:contextualSpacing/>
      <w:jc w:val="left"/>
    </w:pPr>
    <w:rPr>
      <w:rFonts w:ascii="Times New Roman" w:eastAsiaTheme="minorEastAsia" w:hAnsi="Times New Roman"/>
      <w:lang w:eastAsia="zh-CN"/>
    </w:rPr>
  </w:style>
  <w:style w:type="paragraph" w:styleId="Zpat">
    <w:name w:val="footer"/>
    <w:basedOn w:val="Normln"/>
    <w:link w:val="ZpatChar"/>
    <w:uiPriority w:val="99"/>
    <w:unhideWhenUsed/>
    <w:rsid w:val="002A4E24"/>
    <w:pPr>
      <w:tabs>
        <w:tab w:val="center" w:pos="4536"/>
        <w:tab w:val="right" w:pos="9072"/>
      </w:tabs>
      <w:spacing w:after="0" w:line="240" w:lineRule="auto"/>
    </w:pPr>
  </w:style>
  <w:style w:type="character" w:customStyle="1" w:styleId="ZpatChar">
    <w:name w:val="Zápatí Char"/>
    <w:basedOn w:val="Standardnpsmoodstavce"/>
    <w:link w:val="Zpat"/>
    <w:uiPriority w:val="99"/>
    <w:rsid w:val="002A4E24"/>
    <w:rPr>
      <w:rFonts w:ascii="Cambria" w:eastAsia="Calibri" w:hAnsi="Cambria" w:cs="Times New Roman"/>
      <w:lang w:eastAsia="en-US"/>
    </w:rPr>
  </w:style>
  <w:style w:type="character" w:styleId="Hypertextovodkaz">
    <w:name w:val="Hyperlink"/>
    <w:basedOn w:val="Standardnpsmoodstavce"/>
    <w:uiPriority w:val="99"/>
    <w:semiHidden/>
    <w:unhideWhenUsed/>
    <w:rsid w:val="009170F7"/>
    <w:rPr>
      <w:color w:val="0000FF" w:themeColor="hyperlink"/>
      <w:u w:val="single"/>
    </w:rPr>
  </w:style>
  <w:style w:type="paragraph" w:styleId="Normlnweb">
    <w:name w:val="Normal (Web)"/>
    <w:basedOn w:val="Normln"/>
    <w:uiPriority w:val="99"/>
    <w:unhideWhenUsed/>
    <w:rsid w:val="00C56F86"/>
    <w:pPr>
      <w:spacing w:before="100" w:beforeAutospacing="1" w:after="100" w:afterAutospacing="1" w:line="240" w:lineRule="auto"/>
      <w:jc w:val="left"/>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88427">
      <w:bodyDiv w:val="1"/>
      <w:marLeft w:val="0"/>
      <w:marRight w:val="0"/>
      <w:marTop w:val="0"/>
      <w:marBottom w:val="0"/>
      <w:divBdr>
        <w:top w:val="none" w:sz="0" w:space="0" w:color="auto"/>
        <w:left w:val="none" w:sz="0" w:space="0" w:color="auto"/>
        <w:bottom w:val="none" w:sz="0" w:space="0" w:color="auto"/>
        <w:right w:val="none" w:sz="0" w:space="0" w:color="auto"/>
      </w:divBdr>
    </w:div>
    <w:div w:id="88937157">
      <w:bodyDiv w:val="1"/>
      <w:marLeft w:val="0"/>
      <w:marRight w:val="0"/>
      <w:marTop w:val="0"/>
      <w:marBottom w:val="0"/>
      <w:divBdr>
        <w:top w:val="none" w:sz="0" w:space="0" w:color="auto"/>
        <w:left w:val="none" w:sz="0" w:space="0" w:color="auto"/>
        <w:bottom w:val="none" w:sz="0" w:space="0" w:color="auto"/>
        <w:right w:val="none" w:sz="0" w:space="0" w:color="auto"/>
      </w:divBdr>
    </w:div>
    <w:div w:id="216359862">
      <w:bodyDiv w:val="1"/>
      <w:marLeft w:val="0"/>
      <w:marRight w:val="0"/>
      <w:marTop w:val="0"/>
      <w:marBottom w:val="0"/>
      <w:divBdr>
        <w:top w:val="none" w:sz="0" w:space="0" w:color="auto"/>
        <w:left w:val="none" w:sz="0" w:space="0" w:color="auto"/>
        <w:bottom w:val="none" w:sz="0" w:space="0" w:color="auto"/>
        <w:right w:val="none" w:sz="0" w:space="0" w:color="auto"/>
      </w:divBdr>
    </w:div>
    <w:div w:id="241717596">
      <w:bodyDiv w:val="1"/>
      <w:marLeft w:val="0"/>
      <w:marRight w:val="0"/>
      <w:marTop w:val="0"/>
      <w:marBottom w:val="0"/>
      <w:divBdr>
        <w:top w:val="none" w:sz="0" w:space="0" w:color="auto"/>
        <w:left w:val="none" w:sz="0" w:space="0" w:color="auto"/>
        <w:bottom w:val="none" w:sz="0" w:space="0" w:color="auto"/>
        <w:right w:val="none" w:sz="0" w:space="0" w:color="auto"/>
      </w:divBdr>
    </w:div>
    <w:div w:id="412045309">
      <w:bodyDiv w:val="1"/>
      <w:marLeft w:val="0"/>
      <w:marRight w:val="0"/>
      <w:marTop w:val="0"/>
      <w:marBottom w:val="0"/>
      <w:divBdr>
        <w:top w:val="none" w:sz="0" w:space="0" w:color="auto"/>
        <w:left w:val="none" w:sz="0" w:space="0" w:color="auto"/>
        <w:bottom w:val="none" w:sz="0" w:space="0" w:color="auto"/>
        <w:right w:val="none" w:sz="0" w:space="0" w:color="auto"/>
      </w:divBdr>
    </w:div>
    <w:div w:id="525801277">
      <w:bodyDiv w:val="1"/>
      <w:marLeft w:val="0"/>
      <w:marRight w:val="0"/>
      <w:marTop w:val="0"/>
      <w:marBottom w:val="0"/>
      <w:divBdr>
        <w:top w:val="none" w:sz="0" w:space="0" w:color="auto"/>
        <w:left w:val="none" w:sz="0" w:space="0" w:color="auto"/>
        <w:bottom w:val="none" w:sz="0" w:space="0" w:color="auto"/>
        <w:right w:val="none" w:sz="0" w:space="0" w:color="auto"/>
      </w:divBdr>
    </w:div>
    <w:div w:id="552424036">
      <w:bodyDiv w:val="1"/>
      <w:marLeft w:val="0"/>
      <w:marRight w:val="0"/>
      <w:marTop w:val="0"/>
      <w:marBottom w:val="0"/>
      <w:divBdr>
        <w:top w:val="none" w:sz="0" w:space="0" w:color="auto"/>
        <w:left w:val="none" w:sz="0" w:space="0" w:color="auto"/>
        <w:bottom w:val="none" w:sz="0" w:space="0" w:color="auto"/>
        <w:right w:val="none" w:sz="0" w:space="0" w:color="auto"/>
      </w:divBdr>
    </w:div>
    <w:div w:id="862986055">
      <w:bodyDiv w:val="1"/>
      <w:marLeft w:val="0"/>
      <w:marRight w:val="0"/>
      <w:marTop w:val="0"/>
      <w:marBottom w:val="0"/>
      <w:divBdr>
        <w:top w:val="none" w:sz="0" w:space="0" w:color="auto"/>
        <w:left w:val="none" w:sz="0" w:space="0" w:color="auto"/>
        <w:bottom w:val="none" w:sz="0" w:space="0" w:color="auto"/>
        <w:right w:val="none" w:sz="0" w:space="0" w:color="auto"/>
      </w:divBdr>
    </w:div>
    <w:div w:id="1031105340">
      <w:bodyDiv w:val="1"/>
      <w:marLeft w:val="0"/>
      <w:marRight w:val="0"/>
      <w:marTop w:val="0"/>
      <w:marBottom w:val="0"/>
      <w:divBdr>
        <w:top w:val="none" w:sz="0" w:space="0" w:color="auto"/>
        <w:left w:val="none" w:sz="0" w:space="0" w:color="auto"/>
        <w:bottom w:val="none" w:sz="0" w:space="0" w:color="auto"/>
        <w:right w:val="none" w:sz="0" w:space="0" w:color="auto"/>
      </w:divBdr>
    </w:div>
    <w:div w:id="1157964945">
      <w:bodyDiv w:val="1"/>
      <w:marLeft w:val="0"/>
      <w:marRight w:val="0"/>
      <w:marTop w:val="0"/>
      <w:marBottom w:val="0"/>
      <w:divBdr>
        <w:top w:val="none" w:sz="0" w:space="0" w:color="auto"/>
        <w:left w:val="none" w:sz="0" w:space="0" w:color="auto"/>
        <w:bottom w:val="none" w:sz="0" w:space="0" w:color="auto"/>
        <w:right w:val="none" w:sz="0" w:space="0" w:color="auto"/>
      </w:divBdr>
    </w:div>
    <w:div w:id="1266036229">
      <w:bodyDiv w:val="1"/>
      <w:marLeft w:val="0"/>
      <w:marRight w:val="0"/>
      <w:marTop w:val="0"/>
      <w:marBottom w:val="0"/>
      <w:divBdr>
        <w:top w:val="none" w:sz="0" w:space="0" w:color="auto"/>
        <w:left w:val="none" w:sz="0" w:space="0" w:color="auto"/>
        <w:bottom w:val="none" w:sz="0" w:space="0" w:color="auto"/>
        <w:right w:val="none" w:sz="0" w:space="0" w:color="auto"/>
      </w:divBdr>
    </w:div>
    <w:div w:id="1298948043">
      <w:bodyDiv w:val="1"/>
      <w:marLeft w:val="0"/>
      <w:marRight w:val="0"/>
      <w:marTop w:val="0"/>
      <w:marBottom w:val="0"/>
      <w:divBdr>
        <w:top w:val="none" w:sz="0" w:space="0" w:color="auto"/>
        <w:left w:val="none" w:sz="0" w:space="0" w:color="auto"/>
        <w:bottom w:val="none" w:sz="0" w:space="0" w:color="auto"/>
        <w:right w:val="none" w:sz="0" w:space="0" w:color="auto"/>
      </w:divBdr>
    </w:div>
    <w:div w:id="1507940359">
      <w:bodyDiv w:val="1"/>
      <w:marLeft w:val="0"/>
      <w:marRight w:val="0"/>
      <w:marTop w:val="0"/>
      <w:marBottom w:val="0"/>
      <w:divBdr>
        <w:top w:val="none" w:sz="0" w:space="0" w:color="auto"/>
        <w:left w:val="none" w:sz="0" w:space="0" w:color="auto"/>
        <w:bottom w:val="none" w:sz="0" w:space="0" w:color="auto"/>
        <w:right w:val="none" w:sz="0" w:space="0" w:color="auto"/>
      </w:divBdr>
    </w:div>
    <w:div w:id="1540898102">
      <w:bodyDiv w:val="1"/>
      <w:marLeft w:val="0"/>
      <w:marRight w:val="0"/>
      <w:marTop w:val="0"/>
      <w:marBottom w:val="0"/>
      <w:divBdr>
        <w:top w:val="none" w:sz="0" w:space="0" w:color="auto"/>
        <w:left w:val="none" w:sz="0" w:space="0" w:color="auto"/>
        <w:bottom w:val="none" w:sz="0" w:space="0" w:color="auto"/>
        <w:right w:val="none" w:sz="0" w:space="0" w:color="auto"/>
      </w:divBdr>
    </w:div>
    <w:div w:id="1745493403">
      <w:bodyDiv w:val="1"/>
      <w:marLeft w:val="0"/>
      <w:marRight w:val="0"/>
      <w:marTop w:val="0"/>
      <w:marBottom w:val="0"/>
      <w:divBdr>
        <w:top w:val="none" w:sz="0" w:space="0" w:color="auto"/>
        <w:left w:val="none" w:sz="0" w:space="0" w:color="auto"/>
        <w:bottom w:val="none" w:sz="0" w:space="0" w:color="auto"/>
        <w:right w:val="none" w:sz="0" w:space="0" w:color="auto"/>
      </w:divBdr>
    </w:div>
    <w:div w:id="214630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1076</Words>
  <Characters>6354</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Náhlíková Pavla</dc:creator>
  <cp:lastModifiedBy>Kodadová Zuzana</cp:lastModifiedBy>
  <cp:revision>2</cp:revision>
  <dcterms:created xsi:type="dcterms:W3CDTF">2024-08-09T07:35:00Z</dcterms:created>
  <dcterms:modified xsi:type="dcterms:W3CDTF">2024-08-09T07:35:00Z</dcterms:modified>
</cp:coreProperties>
</file>