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F00B5" w14:textId="0C40EB74" w:rsidR="00C30013" w:rsidRPr="008B37DD" w:rsidRDefault="00B179A2" w:rsidP="008B37DD">
      <w:pPr>
        <w:pBdr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pBdr>
        <w:shd w:val="clear" w:color="auto" w:fill="D9D9D9" w:themeFill="background1" w:themeFillShade="D9"/>
        <w:jc w:val="center"/>
        <w:rPr>
          <w:b/>
          <w:sz w:val="10"/>
          <w:szCs w:val="10"/>
        </w:rPr>
      </w:pPr>
      <w:r>
        <w:rPr>
          <w:b/>
          <w:sz w:val="10"/>
          <w:szCs w:val="10"/>
        </w:rPr>
        <w:t>š</w:t>
      </w:r>
      <w:r w:rsidR="008B37DD" w:rsidRPr="008B37DD">
        <w:rPr>
          <w:b/>
          <w:sz w:val="10"/>
          <w:szCs w:val="10"/>
        </w:rPr>
        <w:br/>
      </w:r>
      <w:r w:rsidR="00974BE0">
        <w:rPr>
          <w:b/>
          <w:sz w:val="28"/>
        </w:rPr>
        <w:t xml:space="preserve">Zápis z porady projektového týmu projektu </w:t>
      </w:r>
      <w:proofErr w:type="spellStart"/>
      <w:r w:rsidR="00974BE0">
        <w:rPr>
          <w:b/>
          <w:sz w:val="28"/>
        </w:rPr>
        <w:t>InCities</w:t>
      </w:r>
      <w:proofErr w:type="spellEnd"/>
      <w:r w:rsidR="008B37DD">
        <w:rPr>
          <w:b/>
          <w:sz w:val="28"/>
        </w:rPr>
        <w:br/>
      </w:r>
    </w:p>
    <w:p w14:paraId="328B0D60" w14:textId="77777777" w:rsidR="008B37DD" w:rsidRDefault="008B37DD">
      <w:pPr>
        <w:spacing w:after="0"/>
      </w:pPr>
    </w:p>
    <w:p w14:paraId="1B8CEBC0" w14:textId="44087208" w:rsidR="00C30013" w:rsidRDefault="00974BE0">
      <w:pPr>
        <w:spacing w:after="0"/>
      </w:pPr>
      <w:r>
        <w:t xml:space="preserve">Datum: </w:t>
      </w:r>
      <w:r>
        <w:tab/>
        <w:t>1</w:t>
      </w:r>
      <w:r w:rsidR="001A4D56">
        <w:t>7. 12</w:t>
      </w:r>
      <w:r>
        <w:t>. 2018  1</w:t>
      </w:r>
      <w:r w:rsidR="001A4D56">
        <w:t>0</w:t>
      </w:r>
      <w:r>
        <w:t>:00-1</w:t>
      </w:r>
      <w:r w:rsidR="001A4D56">
        <w:t>1</w:t>
      </w:r>
      <w:r>
        <w:t>:00</w:t>
      </w:r>
    </w:p>
    <w:p w14:paraId="083CF05B" w14:textId="1386CD46" w:rsidR="00C30013" w:rsidRDefault="00974BE0">
      <w:pPr>
        <w:spacing w:after="0"/>
      </w:pPr>
      <w:r>
        <w:t xml:space="preserve">Místo: </w:t>
      </w:r>
      <w:r>
        <w:tab/>
      </w:r>
      <w:r>
        <w:tab/>
      </w:r>
      <w:r w:rsidR="001A4D56">
        <w:t>Městský úřad Chotěboř</w:t>
      </w:r>
    </w:p>
    <w:p w14:paraId="24DD911A" w14:textId="4D7D31BF" w:rsidR="00C30013" w:rsidRDefault="00974BE0" w:rsidP="00AB4000">
      <w:pPr>
        <w:spacing w:after="0"/>
        <w:ind w:left="1425" w:hanging="1425"/>
      </w:pPr>
      <w:r>
        <w:t xml:space="preserve">Přítomní: </w:t>
      </w:r>
      <w:r>
        <w:tab/>
        <w:t xml:space="preserve">členové týmu: </w:t>
      </w:r>
      <w:r w:rsidR="00FE2909">
        <w:tab/>
      </w:r>
      <w:r>
        <w:t xml:space="preserve">Kramářová, Nývlt, </w:t>
      </w:r>
      <w:r w:rsidR="00FE2909">
        <w:br/>
      </w:r>
      <w:r>
        <w:t xml:space="preserve">ostatní: </w:t>
      </w:r>
      <w:r w:rsidR="00FE2909">
        <w:tab/>
      </w:r>
      <w:r w:rsidR="003175E2">
        <w:t xml:space="preserve">Ing. </w:t>
      </w:r>
      <w:proofErr w:type="spellStart"/>
      <w:r w:rsidR="003175E2">
        <w:t>Škaryd</w:t>
      </w:r>
      <w:proofErr w:type="spellEnd"/>
      <w:r w:rsidR="008B5E9F">
        <w:t xml:space="preserve"> (starosta), Mgr. </w:t>
      </w:r>
      <w:r w:rsidR="000B6696">
        <w:t xml:space="preserve">Bc. </w:t>
      </w:r>
      <w:r w:rsidR="008B5E9F">
        <w:t xml:space="preserve">Šafránek (místostarosta), Ing. Pecnová (vedoucí </w:t>
      </w:r>
      <w:r w:rsidR="00AB4000">
        <w:t>odd. ÚP, GIS a PP)</w:t>
      </w:r>
    </w:p>
    <w:p w14:paraId="1E15A607" w14:textId="77777777" w:rsidR="00C30013" w:rsidRDefault="00C30013">
      <w:pPr>
        <w:spacing w:after="0"/>
      </w:pPr>
    </w:p>
    <w:p w14:paraId="6E86E292" w14:textId="77777777" w:rsidR="00C30013" w:rsidRDefault="00C30013">
      <w:pPr>
        <w:jc w:val="center"/>
        <w:rPr>
          <w:b/>
          <w:sz w:val="28"/>
        </w:rPr>
      </w:pPr>
    </w:p>
    <w:p w14:paraId="47AEF7A5" w14:textId="77777777" w:rsidR="00C30013" w:rsidRDefault="00974BE0">
      <w:pPr>
        <w:jc w:val="center"/>
        <w:rPr>
          <w:b/>
          <w:sz w:val="28"/>
        </w:rPr>
      </w:pPr>
      <w:r>
        <w:rPr>
          <w:b/>
          <w:sz w:val="28"/>
        </w:rPr>
        <w:t>Průběh porady:</w:t>
      </w:r>
    </w:p>
    <w:p w14:paraId="1E5F517B" w14:textId="48B85A01" w:rsidR="00C30013" w:rsidRDefault="00AB4000" w:rsidP="00974BE0">
      <w:pPr>
        <w:pStyle w:val="Odstavecseseznamem"/>
        <w:numPr>
          <w:ilvl w:val="0"/>
          <w:numId w:val="1"/>
        </w:numPr>
        <w:jc w:val="both"/>
      </w:pPr>
      <w:r>
        <w:t>Uvítání a úvodní slovo - starosta</w:t>
      </w:r>
      <w:r w:rsidR="00974BE0">
        <w:t xml:space="preserve">. </w:t>
      </w:r>
    </w:p>
    <w:p w14:paraId="53FD3DB8" w14:textId="77777777" w:rsidR="00E5060E" w:rsidRPr="00E5060E" w:rsidRDefault="00AB4000" w:rsidP="00E5060E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Stručné seznámení s obsahem a záměrem projektu, včetně nastínění časového harmonogramu – Ing. Kramářová</w:t>
      </w:r>
      <w:r w:rsidR="00E5060E">
        <w:t xml:space="preserve">. </w:t>
      </w:r>
    </w:p>
    <w:p w14:paraId="0E6527F7" w14:textId="04EC5B2F" w:rsidR="003D48F4" w:rsidRPr="003D48F4" w:rsidRDefault="00E5060E" w:rsidP="003D48F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 xml:space="preserve">Stanovení kontaktní osoby (Ing. Ludmila Pecnová – vedoucí odd. </w:t>
      </w:r>
      <w:proofErr w:type="gramStart"/>
      <w:r>
        <w:t>územního</w:t>
      </w:r>
      <w:proofErr w:type="gramEnd"/>
      <w:r>
        <w:t xml:space="preserve"> plánování, GIS a památkové péče) </w:t>
      </w:r>
      <w:r w:rsidR="003D48F4">
        <w:t>–</w:t>
      </w:r>
      <w:r>
        <w:t xml:space="preserve"> starosta</w:t>
      </w:r>
    </w:p>
    <w:p w14:paraId="25D52A1F" w14:textId="20049041" w:rsidR="00C30013" w:rsidRPr="003D48F4" w:rsidRDefault="003D48F4" w:rsidP="003D48F4">
      <w:pPr>
        <w:pStyle w:val="Odstavecseseznamem"/>
        <w:numPr>
          <w:ilvl w:val="0"/>
          <w:numId w:val="1"/>
        </w:numPr>
        <w:jc w:val="both"/>
        <w:rPr>
          <w:i/>
        </w:rPr>
      </w:pPr>
      <w:r>
        <w:t>Diskuse nad zaměřením projektu – shoda na zaměření:</w:t>
      </w:r>
    </w:p>
    <w:p w14:paraId="6A1EBE77" w14:textId="768BFA1B" w:rsidR="003D48F4" w:rsidRPr="000B6696" w:rsidRDefault="003D48F4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>Pěší pohyb seniorů</w:t>
      </w:r>
      <w:r w:rsidR="000B6696">
        <w:t xml:space="preserve"> </w:t>
      </w:r>
    </w:p>
    <w:p w14:paraId="56EA5356" w14:textId="498DEF82" w:rsidR="000B6696" w:rsidRPr="000B6696" w:rsidRDefault="000B6696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>Pěší pohyb dětí, mládeže a rodičů s dětmi</w:t>
      </w:r>
    </w:p>
    <w:p w14:paraId="57FFE4D7" w14:textId="652A376D" w:rsidR="000B6696" w:rsidRPr="000B6696" w:rsidRDefault="000B6696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>Pěší pohyb ostatních občanů</w:t>
      </w:r>
    </w:p>
    <w:p w14:paraId="7306E547" w14:textId="6B945ACE" w:rsidR="000B6696" w:rsidRPr="000B6696" w:rsidRDefault="000B6696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>Způsob dopravy a pohyb občanů přilehlých obcí po území města Chotěboř</w:t>
      </w:r>
    </w:p>
    <w:p w14:paraId="340C33B3" w14:textId="28380B76" w:rsidR="000B6696" w:rsidRPr="000B6696" w:rsidRDefault="000B6696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>Studie kolizních míst z hlediska pěší a motorové dopravy</w:t>
      </w:r>
    </w:p>
    <w:p w14:paraId="1DDA191A" w14:textId="4EA62C57" w:rsidR="000B6696" w:rsidRPr="000B6696" w:rsidRDefault="000B6696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>Studie městského mobiliáře v oblastech nejčastějšího pohybu seniorů</w:t>
      </w:r>
    </w:p>
    <w:p w14:paraId="354C1938" w14:textId="091C7F3F" w:rsidR="000B6696" w:rsidRPr="003D48F4" w:rsidRDefault="000B6696" w:rsidP="003D48F4">
      <w:pPr>
        <w:pStyle w:val="Odstavecseseznamem"/>
        <w:numPr>
          <w:ilvl w:val="1"/>
          <w:numId w:val="1"/>
        </w:numPr>
        <w:jc w:val="both"/>
        <w:rPr>
          <w:i/>
        </w:rPr>
      </w:pPr>
      <w:r>
        <w:t xml:space="preserve">Studie </w:t>
      </w:r>
      <w:proofErr w:type="spellStart"/>
      <w:r>
        <w:t>cyklodopravy</w:t>
      </w:r>
      <w:proofErr w:type="spellEnd"/>
      <w:r>
        <w:t>, jakožto alternativy k automobilové dopravě</w:t>
      </w:r>
    </w:p>
    <w:p w14:paraId="7DBD9D5B" w14:textId="4E796170" w:rsidR="00C30013" w:rsidRDefault="000B6696" w:rsidP="00974BE0">
      <w:pPr>
        <w:pStyle w:val="Odstavecseseznamem"/>
        <w:numPr>
          <w:ilvl w:val="0"/>
          <w:numId w:val="1"/>
        </w:numPr>
        <w:ind w:left="714" w:hanging="357"/>
        <w:jc w:val="both"/>
      </w:pPr>
      <w:r>
        <w:t>Podklady, které je město schopno poskytnout:</w:t>
      </w:r>
    </w:p>
    <w:p w14:paraId="22B28D13" w14:textId="36DAE346" w:rsidR="008F0B94" w:rsidRDefault="008F0B94" w:rsidP="000B6696">
      <w:pPr>
        <w:pStyle w:val="Odstavecseseznamem"/>
        <w:numPr>
          <w:ilvl w:val="1"/>
          <w:numId w:val="1"/>
        </w:numPr>
        <w:jc w:val="both"/>
      </w:pPr>
      <w:r>
        <w:t>Územní plán města Chotěboř</w:t>
      </w:r>
    </w:p>
    <w:p w14:paraId="100F35AD" w14:textId="27A05181" w:rsidR="000B6696" w:rsidRDefault="008F0B94" w:rsidP="000B6696">
      <w:pPr>
        <w:pStyle w:val="Odstavecseseznamem"/>
        <w:numPr>
          <w:ilvl w:val="1"/>
          <w:numId w:val="1"/>
        </w:numPr>
        <w:jc w:val="both"/>
      </w:pPr>
      <w:r>
        <w:t>Územně analytické podklady obcí v ORP Chotěboř</w:t>
      </w:r>
    </w:p>
    <w:p w14:paraId="170621F6" w14:textId="77777777" w:rsidR="008F0B94" w:rsidRDefault="008F0B94" w:rsidP="008F0B94">
      <w:pPr>
        <w:pStyle w:val="Odstavecseseznamem"/>
        <w:numPr>
          <w:ilvl w:val="1"/>
          <w:numId w:val="1"/>
        </w:numPr>
        <w:jc w:val="both"/>
      </w:pPr>
      <w:r>
        <w:t>Studie parkování</w:t>
      </w:r>
    </w:p>
    <w:p w14:paraId="699F8438" w14:textId="1FF4E12D" w:rsidR="008F0B94" w:rsidRPr="007B6845" w:rsidRDefault="008F0B94" w:rsidP="008F0B94">
      <w:pPr>
        <w:pStyle w:val="Odstavecseseznamem"/>
        <w:numPr>
          <w:ilvl w:val="1"/>
          <w:numId w:val="1"/>
        </w:numPr>
        <w:jc w:val="both"/>
      </w:pPr>
      <w:r>
        <w:t>Rozbor bezbariérovosti území</w:t>
      </w:r>
    </w:p>
    <w:p w14:paraId="2ACCF17C" w14:textId="7E83FABF" w:rsidR="008F0B94" w:rsidRDefault="008F0B94" w:rsidP="008F0B94">
      <w:pPr>
        <w:pStyle w:val="Odstavecseseznamem"/>
        <w:numPr>
          <w:ilvl w:val="0"/>
          <w:numId w:val="1"/>
        </w:numPr>
        <w:ind w:left="714" w:hanging="357"/>
        <w:jc w:val="both"/>
      </w:pPr>
      <w:r>
        <w:t>Bude třeba podepsat smlouvu o spolupráci dle požadavků TAČR.</w:t>
      </w:r>
    </w:p>
    <w:p w14:paraId="6E4AB1CE" w14:textId="106F3E43" w:rsidR="00974BE0" w:rsidRPr="007B6845" w:rsidRDefault="00974BE0" w:rsidP="008F0B94">
      <w:pPr>
        <w:jc w:val="both"/>
      </w:pPr>
    </w:p>
    <w:p w14:paraId="42940E84" w14:textId="77777777" w:rsidR="00C30013" w:rsidRDefault="00C30013">
      <w:pPr>
        <w:pStyle w:val="Odstavecseseznamem"/>
        <w:ind w:left="714" w:hanging="357"/>
      </w:pPr>
    </w:p>
    <w:p w14:paraId="44FDC056" w14:textId="77777777" w:rsidR="00C30013" w:rsidRDefault="00974BE0">
      <w:pPr>
        <w:jc w:val="center"/>
        <w:rPr>
          <w:b/>
          <w:sz w:val="28"/>
        </w:rPr>
      </w:pPr>
      <w:r>
        <w:rPr>
          <w:b/>
          <w:sz w:val="28"/>
        </w:rPr>
        <w:t>Usnesení:</w:t>
      </w:r>
    </w:p>
    <w:p w14:paraId="048AE1CD" w14:textId="1D9F47E0" w:rsidR="00C30013" w:rsidRDefault="008F0B94">
      <w:pPr>
        <w:pStyle w:val="Normln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Spolupráce na projektu bude pro město výhodná, město ji vítá.</w:t>
      </w:r>
    </w:p>
    <w:p w14:paraId="08F7518E" w14:textId="283768C0" w:rsidR="008F0B94" w:rsidRDefault="008F0B94">
      <w:pPr>
        <w:pStyle w:val="Normln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osobou za Město Chotěboř bude Ing. Ludmila Pecnová.</w:t>
      </w:r>
    </w:p>
    <w:p w14:paraId="5F0521AE" w14:textId="20E4EA25" w:rsidR="00C30013" w:rsidRDefault="00974BE0">
      <w:pPr>
        <w:pStyle w:val="Normlnweb"/>
        <w:numPr>
          <w:ilvl w:val="0"/>
          <w:numId w:val="2"/>
        </w:numPr>
        <w:shd w:val="clear" w:color="auto" w:fill="FFFFFF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Příští pracovní </w:t>
      </w:r>
      <w:r w:rsidR="008F0B94">
        <w:rPr>
          <w:rFonts w:ascii="Calibri" w:hAnsi="Calibri"/>
          <w:sz w:val="22"/>
          <w:szCs w:val="22"/>
        </w:rPr>
        <w:t>schůzka bude stanovena dle potřeb zúčastněných stran v druhé půli ledna či v průběhu února</w:t>
      </w:r>
      <w:r>
        <w:rPr>
          <w:rFonts w:ascii="Calibri" w:hAnsi="Calibri"/>
          <w:sz w:val="22"/>
          <w:szCs w:val="22"/>
        </w:rPr>
        <w:t>.</w:t>
      </w:r>
    </w:p>
    <w:p w14:paraId="62E9F07E" w14:textId="77777777" w:rsidR="00C30013" w:rsidRDefault="00C30013">
      <w:pPr>
        <w:rPr>
          <w:b/>
        </w:rPr>
      </w:pPr>
      <w:bookmarkStart w:id="0" w:name="_GoBack"/>
      <w:bookmarkEnd w:id="0"/>
    </w:p>
    <w:p w14:paraId="1DA37CAE" w14:textId="77777777" w:rsidR="00C30013" w:rsidRDefault="00974BE0">
      <w:pPr>
        <w:rPr>
          <w:b/>
        </w:rPr>
      </w:pPr>
      <w:r>
        <w:rPr>
          <w:b/>
        </w:rPr>
        <w:t xml:space="preserve">Rozdělovník: </w:t>
      </w:r>
    </w:p>
    <w:p w14:paraId="23F2E74B" w14:textId="77777777" w:rsidR="00C30013" w:rsidRDefault="00974BE0">
      <w:proofErr w:type="spellStart"/>
      <w:r>
        <w:t>Stehel</w:t>
      </w:r>
      <w:proofErr w:type="spellEnd"/>
      <w:r>
        <w:t xml:space="preserve">, Vyskočilová, </w:t>
      </w:r>
      <w:proofErr w:type="spellStart"/>
      <w:r>
        <w:t>Schmeidler</w:t>
      </w:r>
      <w:proofErr w:type="spellEnd"/>
      <w:r>
        <w:t xml:space="preserve">, Bartuška, Kramářová, </w:t>
      </w:r>
      <w:proofErr w:type="spellStart"/>
      <w:r>
        <w:t>Ližbetinová</w:t>
      </w:r>
      <w:proofErr w:type="spellEnd"/>
      <w:r>
        <w:t xml:space="preserve">, </w:t>
      </w:r>
      <w:proofErr w:type="spellStart"/>
      <w:r>
        <w:t>Prušková</w:t>
      </w:r>
      <w:proofErr w:type="spellEnd"/>
      <w:r>
        <w:t>, Šál, Nývlt</w:t>
      </w:r>
    </w:p>
    <w:sectPr w:rsidR="00C30013" w:rsidSect="008B37DD">
      <w:headerReference w:type="default" r:id="rId9"/>
      <w:footerReference w:type="default" r:id="rId10"/>
      <w:pgSz w:w="11906" w:h="16838"/>
      <w:pgMar w:top="2269" w:right="1417" w:bottom="1418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66C912" w14:textId="77777777" w:rsidR="000B6696" w:rsidRDefault="000B6696">
      <w:pPr>
        <w:spacing w:after="0" w:line="240" w:lineRule="auto"/>
      </w:pPr>
      <w:r>
        <w:separator/>
      </w:r>
    </w:p>
  </w:endnote>
  <w:endnote w:type="continuationSeparator" w:id="0">
    <w:p w14:paraId="1282C05B" w14:textId="77777777" w:rsidR="000B6696" w:rsidRDefault="000B6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DF89" w14:textId="77777777" w:rsidR="000B6696" w:rsidRPr="008B37DD" w:rsidRDefault="000B6696">
    <w:pPr>
      <w:pStyle w:val="Zpat"/>
      <w:jc w:val="center"/>
      <w:rPr>
        <w:color w:val="595959" w:themeColor="text1" w:themeTint="A6"/>
        <w:sz w:val="18"/>
        <w:szCs w:val="18"/>
      </w:rPr>
    </w:pPr>
    <w:r>
      <w:rPr>
        <w:noProof/>
        <w:color w:val="595959" w:themeColor="text1" w:themeTint="A6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32170" wp14:editId="0BA69FD4">
              <wp:simplePos x="0" y="0"/>
              <wp:positionH relativeFrom="column">
                <wp:posOffset>8255</wp:posOffset>
              </wp:positionH>
              <wp:positionV relativeFrom="paragraph">
                <wp:posOffset>-103505</wp:posOffset>
              </wp:positionV>
              <wp:extent cx="5746750" cy="6350"/>
              <wp:effectExtent l="8255" t="10795" r="7620" b="1143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691EDF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65pt;margin-top:-8.15pt;width:45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"/>
          </w:pict>
        </mc:Fallback>
      </mc:AlternateContent>
    </w:r>
    <w:r w:rsidRPr="008B37DD">
      <w:rPr>
        <w:color w:val="595959" w:themeColor="text1" w:themeTint="A6"/>
        <w:sz w:val="18"/>
        <w:szCs w:val="18"/>
      </w:rPr>
      <w:t>Vysoká škola technická a ekono</w:t>
    </w:r>
    <w:r>
      <w:rPr>
        <w:color w:val="595959" w:themeColor="text1" w:themeTint="A6"/>
        <w:sz w:val="18"/>
        <w:szCs w:val="18"/>
      </w:rPr>
      <w:t>mická v Českých Budějovicích – K</w:t>
    </w:r>
    <w:r w:rsidRPr="008B37DD">
      <w:rPr>
        <w:color w:val="595959" w:themeColor="text1" w:themeTint="A6"/>
        <w:sz w:val="18"/>
        <w:szCs w:val="18"/>
      </w:rPr>
      <w:t>atedra stavebnictví</w:t>
    </w:r>
  </w:p>
  <w:p w14:paraId="188C3E3F" w14:textId="29223C85" w:rsidR="000B6696" w:rsidRPr="001878B6" w:rsidRDefault="000B6696" w:rsidP="001878B6">
    <w:pPr>
      <w:pStyle w:val="Zpat"/>
      <w:jc w:val="center"/>
      <w:rPr>
        <w:color w:val="595959" w:themeColor="text1" w:themeTint="A6"/>
      </w:rPr>
    </w:pPr>
    <w:r>
      <w:rPr>
        <w:color w:val="595959" w:themeColor="text1" w:themeTint="A6"/>
      </w:rPr>
      <w:t>-</w:t>
    </w:r>
    <w:r w:rsidRPr="001878B6">
      <w:rPr>
        <w:color w:val="595959" w:themeColor="text1" w:themeTint="A6"/>
      </w:rPr>
      <w:fldChar w:fldCharType="begin"/>
    </w:r>
    <w:r w:rsidRPr="001878B6">
      <w:rPr>
        <w:color w:val="595959" w:themeColor="text1" w:themeTint="A6"/>
      </w:rPr>
      <w:instrText>PAGE   \* MERGEFORMAT</w:instrText>
    </w:r>
    <w:r w:rsidRPr="001878B6">
      <w:rPr>
        <w:color w:val="595959" w:themeColor="text1" w:themeTint="A6"/>
      </w:rPr>
      <w:fldChar w:fldCharType="separate"/>
    </w:r>
    <w:r w:rsidR="008F0B94">
      <w:rPr>
        <w:noProof/>
        <w:color w:val="595959" w:themeColor="text1" w:themeTint="A6"/>
      </w:rPr>
      <w:t>1</w:t>
    </w:r>
    <w:r w:rsidRPr="001878B6">
      <w:rPr>
        <w:color w:val="595959" w:themeColor="text1" w:themeTint="A6"/>
      </w:rPr>
      <w:fldChar w:fldCharType="end"/>
    </w:r>
    <w:r>
      <w:rPr>
        <w:color w:val="595959" w:themeColor="text1" w:themeTint="A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77C15" w14:textId="77777777" w:rsidR="000B6696" w:rsidRDefault="000B6696">
      <w:pPr>
        <w:spacing w:after="0" w:line="240" w:lineRule="auto"/>
      </w:pPr>
      <w:r>
        <w:separator/>
      </w:r>
    </w:p>
  </w:footnote>
  <w:footnote w:type="continuationSeparator" w:id="0">
    <w:p w14:paraId="1877C1EE" w14:textId="77777777" w:rsidR="000B6696" w:rsidRDefault="000B6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33EA9" w14:textId="32EC5A01" w:rsidR="000B6696" w:rsidRPr="001878B6" w:rsidRDefault="000B6696">
    <w:pPr>
      <w:pStyle w:val="Zhlav"/>
      <w:ind w:left="2124"/>
      <w:jc w:val="right"/>
      <w:rPr>
        <w:rFonts w:ascii="Wide Latin" w:hAnsi="Wide Latin"/>
        <w:color w:val="595959" w:themeColor="text1" w:themeTint="A6"/>
        <w:sz w:val="32"/>
        <w:szCs w:val="32"/>
      </w:rPr>
    </w:pPr>
    <w:r w:rsidRPr="005C01A1">
      <w:rPr>
        <w:b/>
        <w:noProof/>
        <w:sz w:val="10"/>
        <w:szCs w:val="10"/>
        <w:lang w:eastAsia="cs-CZ"/>
      </w:rPr>
      <w:drawing>
        <wp:anchor distT="0" distB="0" distL="114300" distR="114300" simplePos="0" relativeHeight="251663360" behindDoc="0" locked="0" layoutInCell="1" allowOverlap="1" wp14:anchorId="0CA0FEBE" wp14:editId="2EE5D4B4">
          <wp:simplePos x="0" y="0"/>
          <wp:positionH relativeFrom="column">
            <wp:posOffset>52705</wp:posOffset>
          </wp:positionH>
          <wp:positionV relativeFrom="paragraph">
            <wp:posOffset>55245</wp:posOffset>
          </wp:positionV>
          <wp:extent cx="741045" cy="640715"/>
          <wp:effectExtent l="0" t="0" r="1905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1878B6">
      <w:rPr>
        <w:rFonts w:ascii="Wide Latin" w:hAnsi="Wide Latin"/>
        <w:color w:val="595959" w:themeColor="text1" w:themeTint="A6"/>
        <w:sz w:val="32"/>
        <w:szCs w:val="32"/>
      </w:rPr>
      <w:t>InCities</w:t>
    </w:r>
    <w:proofErr w:type="spellEnd"/>
  </w:p>
  <w:p w14:paraId="2637D09B" w14:textId="77777777" w:rsidR="000B6696" w:rsidRPr="001878B6" w:rsidRDefault="000B6696">
    <w:pPr>
      <w:pStyle w:val="Zhlav"/>
      <w:ind w:left="2124"/>
      <w:jc w:val="right"/>
      <w:rPr>
        <w:rFonts w:asciiTheme="majorHAnsi" w:hAnsiTheme="majorHAnsi" w:cs="Times New Roman"/>
        <w:color w:val="595959" w:themeColor="text1" w:themeTint="A6"/>
        <w:sz w:val="20"/>
        <w:szCs w:val="20"/>
      </w:rPr>
    </w:pPr>
    <w:r w:rsidRPr="001878B6">
      <w:rPr>
        <w:rFonts w:asciiTheme="majorHAnsi" w:hAnsiTheme="majorHAnsi"/>
        <w:color w:val="595959" w:themeColor="text1" w:themeTint="A6"/>
        <w:sz w:val="20"/>
        <w:szCs w:val="20"/>
      </w:rPr>
      <w:t>Bezpe</w:t>
    </w:r>
    <w:r w:rsidRPr="001878B6">
      <w:rPr>
        <w:rFonts w:asciiTheme="majorHAnsi" w:hAnsiTheme="majorHAnsi" w:cs="Times New Roman"/>
        <w:color w:val="595959" w:themeColor="text1" w:themeTint="A6"/>
        <w:sz w:val="20"/>
        <w:szCs w:val="20"/>
      </w:rPr>
      <w:t>čná města pro chodce a seniory</w:t>
    </w:r>
  </w:p>
  <w:p w14:paraId="464AA3D9" w14:textId="2DBB129E" w:rsidR="000B6696" w:rsidRPr="001878B6" w:rsidRDefault="000B6696" w:rsidP="001878B6">
    <w:pPr>
      <w:pStyle w:val="Zhlav"/>
      <w:jc w:val="right"/>
      <w:rPr>
        <w:rFonts w:asciiTheme="majorHAnsi" w:hAnsiTheme="majorHAnsi" w:cs="Times New Roman"/>
        <w:sz w:val="20"/>
        <w:szCs w:val="20"/>
      </w:rPr>
    </w:pPr>
    <w:r w:rsidRPr="001878B6">
      <w:rPr>
        <w:rFonts w:asciiTheme="majorHAnsi" w:hAnsiTheme="majorHAnsi"/>
        <w:color w:val="595959" w:themeColor="text1" w:themeTint="A6"/>
        <w:sz w:val="20"/>
        <w:szCs w:val="20"/>
      </w:rPr>
      <w:t>TA</w:t>
    </w:r>
    <w:r w:rsidRPr="001878B6">
      <w:rPr>
        <w:rFonts w:asciiTheme="majorHAnsi" w:hAnsiTheme="majorHAnsi" w:cs="Times New Roman"/>
        <w:color w:val="595959" w:themeColor="text1" w:themeTint="A6"/>
        <w:sz w:val="20"/>
        <w:szCs w:val="20"/>
      </w:rPr>
      <w:t>ČR TL02000559</w:t>
    </w:r>
  </w:p>
  <w:p w14:paraId="387C97FF" w14:textId="77777777" w:rsidR="000B6696" w:rsidRDefault="000B6696">
    <w:pPr>
      <w:pStyle w:val="Zhlav"/>
    </w:pPr>
    <w:r>
      <w:rPr>
        <w:noProof/>
        <w:color w:val="595959" w:themeColor="text1" w:themeTint="A6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26B993" wp14:editId="77AA120B">
              <wp:simplePos x="0" y="0"/>
              <wp:positionH relativeFrom="column">
                <wp:posOffset>52705</wp:posOffset>
              </wp:positionH>
              <wp:positionV relativeFrom="paragraph">
                <wp:posOffset>144780</wp:posOffset>
              </wp:positionV>
              <wp:extent cx="5746750" cy="6350"/>
              <wp:effectExtent l="5080" t="11430" r="10795" b="1079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6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3F449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4.15pt;margin-top:11.4pt;width:452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B1C56"/>
    <w:multiLevelType w:val="multilevel"/>
    <w:tmpl w:val="8834B8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8B6275"/>
    <w:multiLevelType w:val="multilevel"/>
    <w:tmpl w:val="DD34B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C7EA4"/>
    <w:multiLevelType w:val="multilevel"/>
    <w:tmpl w:val="44D4C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13"/>
    <w:rsid w:val="000872F9"/>
    <w:rsid w:val="000B6696"/>
    <w:rsid w:val="001878B6"/>
    <w:rsid w:val="001A4D56"/>
    <w:rsid w:val="003175E2"/>
    <w:rsid w:val="00362218"/>
    <w:rsid w:val="003D48F4"/>
    <w:rsid w:val="005C01A1"/>
    <w:rsid w:val="00640FBF"/>
    <w:rsid w:val="00704AAF"/>
    <w:rsid w:val="0070529F"/>
    <w:rsid w:val="007A3C0A"/>
    <w:rsid w:val="007B6845"/>
    <w:rsid w:val="008B37DD"/>
    <w:rsid w:val="008B5E9F"/>
    <w:rsid w:val="008B7D53"/>
    <w:rsid w:val="008F0B94"/>
    <w:rsid w:val="00974BE0"/>
    <w:rsid w:val="009914EC"/>
    <w:rsid w:val="009D138F"/>
    <w:rsid w:val="009D797F"/>
    <w:rsid w:val="009D79C9"/>
    <w:rsid w:val="009F5210"/>
    <w:rsid w:val="00AB4000"/>
    <w:rsid w:val="00B179A2"/>
    <w:rsid w:val="00B62E3F"/>
    <w:rsid w:val="00BE1014"/>
    <w:rsid w:val="00C30013"/>
    <w:rsid w:val="00C46342"/>
    <w:rsid w:val="00E5060E"/>
    <w:rsid w:val="00E639DB"/>
    <w:rsid w:val="00E971C5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A1FD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Normlnweb">
    <w:name w:val="Normal (Web)"/>
    <w:basedOn w:val="Normln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878B6"/>
    <w:rPr>
      <w:rFonts w:ascii="Calibri" w:eastAsia="SimSun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A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AF"/>
    <w:rPr>
      <w:rFonts w:ascii="Lucida Grande" w:eastAsia="SimSun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160" w:line="256" w:lineRule="auto"/>
    </w:pPr>
    <w:rPr>
      <w:rFonts w:ascii="Calibri" w:eastAsia="SimSun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ListLabel1">
    <w:name w:val="ListLabel 1"/>
    <w:rPr>
      <w:rFonts w:cs="Courier New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100" w:lineRule="atLeast"/>
    </w:p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Normlnweb">
    <w:name w:val="Normal (Web)"/>
    <w:basedOn w:val="Normln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878B6"/>
    <w:rPr>
      <w:rFonts w:ascii="Calibri" w:eastAsia="SimSun" w:hAnsi="Calibri" w:cs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AA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AF"/>
    <w:rPr>
      <w:rFonts w:ascii="Lucida Grande" w:eastAsia="SimSun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A50B7-CF14-452D-8E9F-6B1085569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Kramářová Zuzana</dc:creator>
  <cp:lastModifiedBy>Kramářová Zuzana</cp:lastModifiedBy>
  <cp:revision>5</cp:revision>
  <cp:lastPrinted>2018-12-13T10:17:00Z</cp:lastPrinted>
  <dcterms:created xsi:type="dcterms:W3CDTF">2019-01-03T08:47:00Z</dcterms:created>
  <dcterms:modified xsi:type="dcterms:W3CDTF">2019-01-03T11:19:00Z</dcterms:modified>
</cp:coreProperties>
</file>