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000B2" w14:textId="64792C1C" w:rsidR="00004DAC" w:rsidRPr="00D951EE" w:rsidRDefault="000610C2" w:rsidP="000610C2">
      <w:pPr>
        <w:pStyle w:val="Nadpis1"/>
      </w:pPr>
      <w:r>
        <w:tab/>
        <w:t xml:space="preserve">                            </w:t>
      </w:r>
      <w:r w:rsidR="00D47A03">
        <w:t>ZADÁVACÍ DOKUMENTAce</w:t>
      </w:r>
      <w:r>
        <w:tab/>
      </w:r>
    </w:p>
    <w:tbl>
      <w:tblPr>
        <w:tblStyle w:val="Mkatabulky"/>
        <w:tblW w:w="89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2"/>
        <w:gridCol w:w="5778"/>
      </w:tblGrid>
      <w:tr w:rsidR="00EC5933" w14:paraId="0A4B5A7C" w14:textId="77777777" w:rsidTr="00FC1151">
        <w:trPr>
          <w:trHeight w:val="591"/>
          <w:jc w:val="center"/>
        </w:trPr>
        <w:tc>
          <w:tcPr>
            <w:tcW w:w="3152" w:type="dxa"/>
          </w:tcPr>
          <w:p w14:paraId="63A7A080" w14:textId="77777777" w:rsidR="00EC5933" w:rsidRDefault="001F04BF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ascii="Arial" w:hAnsi="Arial" w:cs="Arial"/>
                <w:noProof/>
                <w:sz w:val="26"/>
                <w:szCs w:val="26"/>
                <w:lang w:eastAsia="cs-CZ"/>
              </w:rPr>
              <w:drawing>
                <wp:anchor distT="0" distB="0" distL="114300" distR="114300" simplePos="0" relativeHeight="251662336" behindDoc="1" locked="0" layoutInCell="1" allowOverlap="1" wp14:anchorId="3561EE2A" wp14:editId="07E72C5B">
                  <wp:simplePos x="0" y="0"/>
                  <wp:positionH relativeFrom="column">
                    <wp:posOffset>-320040</wp:posOffset>
                  </wp:positionH>
                  <wp:positionV relativeFrom="paragraph">
                    <wp:posOffset>85907</wp:posOffset>
                  </wp:positionV>
                  <wp:extent cx="209550" cy="1466850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5933">
              <w:rPr>
                <w:rFonts w:cstheme="minorHAnsi"/>
                <w:b/>
              </w:rPr>
              <w:t>Název veřejné zakázky:</w:t>
            </w:r>
          </w:p>
        </w:tc>
        <w:tc>
          <w:tcPr>
            <w:tcW w:w="5778" w:type="dxa"/>
          </w:tcPr>
          <w:p w14:paraId="1B5AED39" w14:textId="2C374086" w:rsidR="000D5BA0" w:rsidRPr="00E91F26" w:rsidRDefault="00E91F26" w:rsidP="00FB7C97">
            <w:pPr>
              <w:ind w:right="33"/>
              <w:jc w:val="center"/>
              <w:rPr>
                <w:b/>
              </w:rPr>
            </w:pPr>
            <w:r w:rsidRPr="00E91F26">
              <w:rPr>
                <w:b/>
              </w:rPr>
              <w:t>Strategické rozvojové dokumenty:</w:t>
            </w:r>
            <w:r w:rsidR="001377AB">
              <w:t xml:space="preserve"> </w:t>
            </w:r>
            <w:r w:rsidR="00FB7C97">
              <w:rPr>
                <w:b/>
              </w:rPr>
              <w:t>3</w:t>
            </w:r>
            <w:r w:rsidR="001377AB" w:rsidRPr="001377AB">
              <w:rPr>
                <w:b/>
              </w:rPr>
              <w:t xml:space="preserve">. část: </w:t>
            </w:r>
            <w:r w:rsidR="00FB7C97" w:rsidRPr="00FB7C97">
              <w:rPr>
                <w:b/>
              </w:rPr>
              <w:t>Strategie rozvoje dopravy a veřejného prostoru</w:t>
            </w:r>
          </w:p>
        </w:tc>
      </w:tr>
      <w:tr w:rsidR="00EC5933" w14:paraId="069D7072" w14:textId="77777777" w:rsidTr="00FC1151">
        <w:trPr>
          <w:trHeight w:val="1125"/>
          <w:jc w:val="center"/>
        </w:trPr>
        <w:tc>
          <w:tcPr>
            <w:tcW w:w="3152" w:type="dxa"/>
          </w:tcPr>
          <w:p w14:paraId="07DAF20F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="Arial"/>
                <w:b/>
              </w:rPr>
              <w:t>Druh zadávacího řízení:</w:t>
            </w:r>
          </w:p>
        </w:tc>
        <w:tc>
          <w:tcPr>
            <w:tcW w:w="5778" w:type="dxa"/>
          </w:tcPr>
          <w:p w14:paraId="7584E6F6" w14:textId="1ECF4CEF" w:rsidR="00EC5933" w:rsidRDefault="00B23018" w:rsidP="00B23018">
            <w:pPr>
              <w:spacing w:before="120" w:after="120"/>
              <w:ind w:right="33"/>
              <w:rPr>
                <w:rFonts w:cstheme="minorHAnsi"/>
                <w:b/>
              </w:rPr>
            </w:pPr>
            <w:r w:rsidRPr="00B23018">
              <w:rPr>
                <w:rFonts w:cs="Arial"/>
              </w:rPr>
              <w:t>Veřejná zakázka malého rozsahu dle § 27 zákona č. 134/2016 Sb., o zadávání veřejných zakázek (dále jen „ZZVZ“), zadávaná mimo režim ZZVZ v souladu s ustanovením § 31 ZZVZ dle zásad § 6 ZZVZ.</w:t>
            </w:r>
          </w:p>
        </w:tc>
      </w:tr>
      <w:tr w:rsidR="00EC5933" w14:paraId="4B00C2A2" w14:textId="77777777" w:rsidTr="00FC1151">
        <w:trPr>
          <w:trHeight w:val="408"/>
          <w:jc w:val="center"/>
        </w:trPr>
        <w:tc>
          <w:tcPr>
            <w:tcW w:w="3152" w:type="dxa"/>
          </w:tcPr>
          <w:p w14:paraId="60EF694E" w14:textId="77777777" w:rsidR="00EC5933" w:rsidRPr="00A83810" w:rsidRDefault="00EC5933" w:rsidP="009E5D9A">
            <w:pPr>
              <w:ind w:right="851"/>
              <w:jc w:val="left"/>
              <w:rPr>
                <w:rFonts w:cstheme="minorHAnsi"/>
                <w:b/>
                <w:color w:val="663300"/>
              </w:rPr>
            </w:pPr>
            <w:r w:rsidRPr="00A83810">
              <w:rPr>
                <w:rFonts w:ascii="Arial" w:hAnsi="Arial"/>
                <w:noProof/>
                <w:color w:val="6633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1" locked="0" layoutInCell="1" allowOverlap="1" wp14:anchorId="0DBE868E" wp14:editId="63996471">
                  <wp:simplePos x="0" y="0"/>
                  <wp:positionH relativeFrom="column">
                    <wp:posOffset>-322580</wp:posOffset>
                  </wp:positionH>
                  <wp:positionV relativeFrom="paragraph">
                    <wp:posOffset>475192</wp:posOffset>
                  </wp:positionV>
                  <wp:extent cx="208430" cy="1584960"/>
                  <wp:effectExtent l="0" t="0" r="127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accent3">
                                <a:lumMod val="60000"/>
                                <a:lumOff val="40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583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78" w:type="dxa"/>
          </w:tcPr>
          <w:p w14:paraId="5BA7AF66" w14:textId="77777777" w:rsidR="00EC5933" w:rsidRDefault="00EC5933" w:rsidP="009E5D9A">
            <w:pPr>
              <w:ind w:right="851"/>
              <w:rPr>
                <w:rFonts w:cstheme="minorHAnsi"/>
                <w:b/>
              </w:rPr>
            </w:pPr>
          </w:p>
        </w:tc>
      </w:tr>
      <w:tr w:rsidR="00EC5933" w14:paraId="33B7F39E" w14:textId="77777777" w:rsidTr="00FC1151">
        <w:trPr>
          <w:jc w:val="center"/>
        </w:trPr>
        <w:tc>
          <w:tcPr>
            <w:tcW w:w="3152" w:type="dxa"/>
          </w:tcPr>
          <w:p w14:paraId="77378DE0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Zadavatel:</w:t>
            </w:r>
          </w:p>
        </w:tc>
        <w:tc>
          <w:tcPr>
            <w:tcW w:w="5778" w:type="dxa"/>
          </w:tcPr>
          <w:p w14:paraId="294AC017" w14:textId="7CD12E7B" w:rsidR="00EC5933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Město Milevsko</w:t>
            </w:r>
          </w:p>
        </w:tc>
      </w:tr>
      <w:tr w:rsidR="00EC5933" w14:paraId="4DBBC612" w14:textId="77777777" w:rsidTr="00FC1151">
        <w:trPr>
          <w:jc w:val="center"/>
        </w:trPr>
        <w:tc>
          <w:tcPr>
            <w:tcW w:w="3152" w:type="dxa"/>
          </w:tcPr>
          <w:p w14:paraId="3309D642" w14:textId="77777777" w:rsidR="00EC5933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Sídlem:</w:t>
            </w:r>
          </w:p>
        </w:tc>
        <w:tc>
          <w:tcPr>
            <w:tcW w:w="5778" w:type="dxa"/>
          </w:tcPr>
          <w:p w14:paraId="1B6D5DFF" w14:textId="3F277B25" w:rsidR="00EC5933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Milevsko 1, nám. E. Beneše 420, PSČ 399 01</w:t>
            </w:r>
          </w:p>
        </w:tc>
      </w:tr>
      <w:tr w:rsidR="00523FFE" w14:paraId="3E18A678" w14:textId="77777777" w:rsidTr="00FC1151">
        <w:trPr>
          <w:jc w:val="center"/>
        </w:trPr>
        <w:tc>
          <w:tcPr>
            <w:tcW w:w="3152" w:type="dxa"/>
          </w:tcPr>
          <w:p w14:paraId="37AA707D" w14:textId="77777777" w:rsidR="00523FFE" w:rsidRDefault="00523FFE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Zastoupený:</w:t>
            </w:r>
          </w:p>
        </w:tc>
        <w:tc>
          <w:tcPr>
            <w:tcW w:w="5778" w:type="dxa"/>
          </w:tcPr>
          <w:p w14:paraId="20AA3DFC" w14:textId="2CD7DCBA" w:rsidR="00523FFE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>
              <w:rPr>
                <w:rFonts w:cs="Arial"/>
              </w:rPr>
              <w:t>Ing. Ivanem Radostou, starostou města</w:t>
            </w:r>
          </w:p>
        </w:tc>
      </w:tr>
      <w:tr w:rsidR="00EC5933" w14:paraId="1241FD29" w14:textId="77777777" w:rsidTr="00FC1151">
        <w:trPr>
          <w:jc w:val="center"/>
        </w:trPr>
        <w:tc>
          <w:tcPr>
            <w:tcW w:w="3152" w:type="dxa"/>
          </w:tcPr>
          <w:p w14:paraId="52B70CBB" w14:textId="77777777" w:rsidR="00EC5933" w:rsidRPr="00455E1E" w:rsidRDefault="00EC5933" w:rsidP="009E5D9A">
            <w:pPr>
              <w:spacing w:before="120" w:after="120"/>
              <w:ind w:right="851"/>
              <w:jc w:val="left"/>
              <w:rPr>
                <w:rFonts w:cstheme="minorHAnsi"/>
                <w:b/>
              </w:rPr>
            </w:pPr>
            <w:r w:rsidRPr="00455E1E">
              <w:rPr>
                <w:rFonts w:cstheme="minorHAnsi"/>
                <w:b/>
              </w:rPr>
              <w:t>IČO:</w:t>
            </w:r>
          </w:p>
        </w:tc>
        <w:tc>
          <w:tcPr>
            <w:tcW w:w="5778" w:type="dxa"/>
          </w:tcPr>
          <w:p w14:paraId="5370322E" w14:textId="760F4A22" w:rsidR="00130E20" w:rsidRDefault="00D86990" w:rsidP="009E5D9A">
            <w:pPr>
              <w:spacing w:before="120" w:after="120"/>
              <w:ind w:right="851"/>
              <w:rPr>
                <w:rFonts w:cstheme="minorHAnsi"/>
                <w:b/>
              </w:rPr>
            </w:pPr>
            <w:r w:rsidRPr="00D86990">
              <w:rPr>
                <w:rFonts w:cstheme="minorHAnsi"/>
              </w:rPr>
              <w:t>00249831</w:t>
            </w:r>
          </w:p>
        </w:tc>
      </w:tr>
    </w:tbl>
    <w:p w14:paraId="0899B755" w14:textId="77777777" w:rsidR="00D8572D" w:rsidRPr="00D8572D" w:rsidRDefault="0026326A" w:rsidP="009E5D9A">
      <w:pPr>
        <w:ind w:right="851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0C1AFC84" w14:textId="76491D06" w:rsidR="000C6536" w:rsidRPr="00D8572D" w:rsidRDefault="002D7357" w:rsidP="009861C0">
      <w:pPr>
        <w:pStyle w:val="Nadpis1"/>
        <w:tabs>
          <w:tab w:val="left" w:pos="9072"/>
        </w:tabs>
        <w:ind w:right="1277"/>
      </w:pPr>
      <w:r>
        <w:lastRenderedPageBreak/>
        <w:tab/>
      </w:r>
      <w:r w:rsidR="000C6536">
        <w:t>O</w:t>
      </w:r>
      <w:r w:rsidR="00411650">
        <w:t>BSAH</w:t>
      </w:r>
    </w:p>
    <w:p w14:paraId="09217E9F" w14:textId="77777777" w:rsidR="001975E4" w:rsidRPr="00D86990" w:rsidRDefault="000C6536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r w:rsidRPr="00E2006A">
        <w:fldChar w:fldCharType="begin"/>
      </w:r>
      <w:r w:rsidRPr="00E2006A">
        <w:instrText xml:space="preserve"> TOC \h \z \u \t "Nadpis 2;1" </w:instrText>
      </w:r>
      <w:r w:rsidRPr="00E2006A">
        <w:fldChar w:fldCharType="separate"/>
      </w:r>
      <w:hyperlink w:anchor="_Toc495314347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Identifikační údaje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_Toc495314347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65034E22" w14:textId="7777777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48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2.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Úvodní ustanovení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_Toc495314348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4AD96D48" w14:textId="7777777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49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3.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Vymezení druhu a předmětu veřejné zakázky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_Toc495314349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4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2423176" w14:textId="7777777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0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4.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POŽADAVKY NA KVALIFIKACI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_Toc495314350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6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070283A" w14:textId="7777777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1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5.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Základní ZPŮSOBILOST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_Toc495314351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7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9C400ED" w14:textId="4AF6891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2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6.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Profesní ZPŮSOBILOST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_Toc495314352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8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F64655B" w14:textId="6EF61BAF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3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7.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TechnickÁ KVALIFIKACE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_Toc495314353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8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991250F" w14:textId="7290EABA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4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8.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Obchodní a platební podmínky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_Toc495314354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10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047717D" w14:textId="3C89DFFA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5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9.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PROHLÍDKA MÍSTA PLNĚNÍ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_Toc495314355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10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FD9955D" w14:textId="172728A6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6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10.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Požadavky na zpracování nabídkové ceny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_Toc495314356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10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943D92A" w14:textId="3A92397E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7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11.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další požadavky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_Toc495314357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11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3AEF0BEE" w14:textId="16B46AB2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8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12.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obsah Nabídky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_Toc495314358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11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FA9840C" w14:textId="6F0D33C7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59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13.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Jistota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_Toc495314359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53BB15A" w14:textId="5170F3CC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0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14.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Hodnotící kritéria a způsob hodnocení nabídek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_Toc495314360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13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7E0FA03C" w14:textId="0F61B545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1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15.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Podmínky a lhůta pro podání nabídek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_Toc495314361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16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17F4E541" w14:textId="451A1506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2" w:history="1">
        <w:r w:rsidR="001975E4" w:rsidRPr="00D86990">
          <w:rPr>
            <w:rStyle w:val="Hypertextovodkaz"/>
            <w:caps/>
            <w:noProof/>
            <w:sz w:val="20"/>
            <w:szCs w:val="20"/>
          </w:rPr>
          <w:t>16.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VYSVĚTLENÍ ZADÁVACÍ DOKUMENTACE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_Toc495314362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17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  <w:r w:rsidR="00623EA2" w:rsidRPr="00D86990">
        <w:rPr>
          <w:rFonts w:eastAsiaTheme="minorEastAsia" w:cstheme="minorBidi"/>
          <w:caps/>
          <w:noProof/>
          <w:sz w:val="20"/>
          <w:szCs w:val="20"/>
          <w:lang w:eastAsia="cs-CZ"/>
        </w:rPr>
        <w:t xml:space="preserve"> </w:t>
      </w:r>
    </w:p>
    <w:p w14:paraId="3FDFEC4F" w14:textId="714B1B1A" w:rsidR="001975E4" w:rsidRPr="00D86990" w:rsidRDefault="002B13D1" w:rsidP="009E5D9A">
      <w:pPr>
        <w:pStyle w:val="Obsah1"/>
        <w:ind w:right="851"/>
        <w:rPr>
          <w:rFonts w:eastAsiaTheme="minorEastAsia" w:cstheme="minorBidi"/>
          <w:caps/>
          <w:noProof/>
          <w:sz w:val="20"/>
          <w:szCs w:val="20"/>
          <w:lang w:eastAsia="cs-CZ"/>
        </w:rPr>
      </w:pPr>
      <w:hyperlink w:anchor="_Toc495314365" w:history="1">
        <w:r w:rsidR="00623EA2">
          <w:rPr>
            <w:rStyle w:val="Hypertextovodkaz"/>
            <w:caps/>
            <w:noProof/>
            <w:sz w:val="20"/>
            <w:szCs w:val="20"/>
          </w:rPr>
          <w:t>17</w:t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Práva a podmínky zadavatele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_Toc495314365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18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0C7976F5" w14:textId="7AAD3E66" w:rsidR="001975E4" w:rsidRPr="00F014F4" w:rsidRDefault="002B13D1" w:rsidP="009E5D9A">
      <w:pPr>
        <w:pStyle w:val="Obsah1"/>
        <w:ind w:right="851"/>
        <w:rPr>
          <w:rFonts w:eastAsiaTheme="minorEastAsia" w:cstheme="minorBidi"/>
          <w:caps/>
          <w:noProof/>
          <w:lang w:eastAsia="cs-CZ"/>
        </w:rPr>
      </w:pPr>
      <w:hyperlink w:anchor="_Toc495314366" w:history="1">
        <w:r w:rsidR="00623EA2">
          <w:rPr>
            <w:rStyle w:val="Hypertextovodkaz"/>
            <w:caps/>
            <w:noProof/>
            <w:sz w:val="20"/>
            <w:szCs w:val="20"/>
          </w:rPr>
          <w:t>18</w:t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.</w:t>
        </w:r>
        <w:r w:rsidR="001975E4" w:rsidRPr="00D86990">
          <w:rPr>
            <w:rFonts w:eastAsiaTheme="minorEastAsia" w:cstheme="minorBidi"/>
            <w:caps/>
            <w:noProof/>
            <w:sz w:val="20"/>
            <w:szCs w:val="20"/>
            <w:lang w:eastAsia="cs-CZ"/>
          </w:rPr>
          <w:tab/>
        </w:r>
        <w:r w:rsidR="001975E4" w:rsidRPr="00D86990">
          <w:rPr>
            <w:rStyle w:val="Hypertextovodkaz"/>
            <w:caps/>
            <w:noProof/>
            <w:sz w:val="20"/>
            <w:szCs w:val="20"/>
          </w:rPr>
          <w:t>Seznam příloh</w:t>
        </w:r>
        <w:r w:rsidR="001975E4" w:rsidRPr="00D86990">
          <w:rPr>
            <w:caps/>
            <w:noProof/>
            <w:webHidden/>
            <w:sz w:val="20"/>
            <w:szCs w:val="20"/>
          </w:rPr>
          <w:tab/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begin"/>
        </w:r>
        <w:r w:rsidR="001975E4" w:rsidRPr="00D86990">
          <w:rPr>
            <w:caps/>
            <w:noProof/>
            <w:webHidden/>
            <w:sz w:val="20"/>
            <w:szCs w:val="20"/>
          </w:rPr>
          <w:instrText xml:space="preserve"> PAGEREF _Toc495314366 \h </w:instrText>
        </w:r>
        <w:r w:rsidR="001975E4" w:rsidRPr="00D86990">
          <w:rPr>
            <w:caps/>
            <w:noProof/>
            <w:webHidden/>
            <w:sz w:val="20"/>
            <w:szCs w:val="20"/>
          </w:rPr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separate"/>
        </w:r>
        <w:r w:rsidR="00770DDC">
          <w:rPr>
            <w:caps/>
            <w:noProof/>
            <w:webHidden/>
            <w:sz w:val="20"/>
            <w:szCs w:val="20"/>
          </w:rPr>
          <w:t>19</w:t>
        </w:r>
        <w:r w:rsidR="001975E4" w:rsidRPr="00D86990">
          <w:rPr>
            <w:caps/>
            <w:noProof/>
            <w:webHidden/>
            <w:sz w:val="20"/>
            <w:szCs w:val="20"/>
          </w:rPr>
          <w:fldChar w:fldCharType="end"/>
        </w:r>
      </w:hyperlink>
    </w:p>
    <w:p w14:paraId="209F599B" w14:textId="77777777" w:rsidR="000C6536" w:rsidRDefault="000C6536" w:rsidP="009E5D9A">
      <w:pPr>
        <w:ind w:right="851"/>
      </w:pPr>
      <w:r w:rsidRPr="00E2006A">
        <w:rPr>
          <w:caps/>
        </w:rPr>
        <w:fldChar w:fldCharType="end"/>
      </w:r>
      <w:r>
        <w:br w:type="page"/>
      </w:r>
    </w:p>
    <w:p w14:paraId="1C3D5E36" w14:textId="77777777" w:rsidR="0026326A" w:rsidRPr="00D64F44" w:rsidRDefault="000C6536" w:rsidP="000610C2">
      <w:pPr>
        <w:pStyle w:val="Nadpis2"/>
        <w:ind w:left="709" w:hanging="709"/>
      </w:pPr>
      <w:bookmarkStart w:id="0" w:name="_Toc495314347"/>
      <w:r w:rsidRPr="00D64F44">
        <w:lastRenderedPageBreak/>
        <w:t>Identifikační údaje zadavatele</w:t>
      </w:r>
      <w:bookmarkEnd w:id="0"/>
    </w:p>
    <w:tbl>
      <w:tblPr>
        <w:tblStyle w:val="Mkatabulky"/>
        <w:tblW w:w="0" w:type="auto"/>
        <w:tblInd w:w="108" w:type="dxa"/>
        <w:tblBorders>
          <w:top w:val="single" w:sz="4" w:space="0" w:color="C9E305"/>
          <w:left w:val="single" w:sz="4" w:space="0" w:color="C9E305"/>
          <w:bottom w:val="single" w:sz="4" w:space="0" w:color="C9E305"/>
          <w:right w:val="single" w:sz="4" w:space="0" w:color="C9E305"/>
          <w:insideH w:val="single" w:sz="4" w:space="0" w:color="C9E305"/>
          <w:insideV w:val="single" w:sz="4" w:space="0" w:color="C9E305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D91DD5" w14:paraId="6E523BD0" w14:textId="77777777" w:rsidTr="008744E2">
        <w:tc>
          <w:tcPr>
            <w:tcW w:w="4395" w:type="dxa"/>
          </w:tcPr>
          <w:p w14:paraId="7953FB5B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Název zadavatele:</w:t>
            </w:r>
          </w:p>
        </w:tc>
        <w:tc>
          <w:tcPr>
            <w:tcW w:w="4677" w:type="dxa"/>
          </w:tcPr>
          <w:p w14:paraId="25DEC5AD" w14:textId="4E354531" w:rsidR="00D91DD5" w:rsidRDefault="00D86990" w:rsidP="009E5D9A">
            <w:pPr>
              <w:spacing w:before="120" w:after="120"/>
              <w:ind w:right="851"/>
            </w:pPr>
            <w:r>
              <w:t>Město Milevsko</w:t>
            </w:r>
          </w:p>
        </w:tc>
      </w:tr>
      <w:tr w:rsidR="00D91DD5" w14:paraId="5AA70DB6" w14:textId="77777777" w:rsidTr="008744E2">
        <w:tc>
          <w:tcPr>
            <w:tcW w:w="4395" w:type="dxa"/>
          </w:tcPr>
          <w:p w14:paraId="5BA993E6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Sídlo zadavatele:</w:t>
            </w:r>
          </w:p>
        </w:tc>
        <w:tc>
          <w:tcPr>
            <w:tcW w:w="4677" w:type="dxa"/>
          </w:tcPr>
          <w:p w14:paraId="139BCA28" w14:textId="63805863" w:rsidR="00D91DD5" w:rsidRDefault="00D86990" w:rsidP="009E5D9A">
            <w:pPr>
              <w:spacing w:before="120" w:after="120"/>
              <w:ind w:right="851"/>
            </w:pPr>
            <w:r w:rsidRPr="00D86990">
              <w:t>Milevsko 1, nám. E. Beneše 420, PSČ 399 01</w:t>
            </w:r>
          </w:p>
        </w:tc>
      </w:tr>
      <w:tr w:rsidR="00D91DD5" w14:paraId="23ADDE9C" w14:textId="77777777" w:rsidTr="008744E2">
        <w:tc>
          <w:tcPr>
            <w:tcW w:w="4395" w:type="dxa"/>
          </w:tcPr>
          <w:p w14:paraId="55C5ED43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IČO / DIČ:</w:t>
            </w:r>
          </w:p>
        </w:tc>
        <w:tc>
          <w:tcPr>
            <w:tcW w:w="4677" w:type="dxa"/>
          </w:tcPr>
          <w:p w14:paraId="252BFDA1" w14:textId="681F3FDA" w:rsidR="00D91DD5" w:rsidRPr="00D62712" w:rsidRDefault="004E02DE" w:rsidP="009E5D9A">
            <w:pPr>
              <w:spacing w:before="120" w:after="120"/>
              <w:ind w:right="851"/>
              <w:rPr>
                <w:b/>
              </w:rPr>
            </w:pPr>
            <w:r w:rsidRPr="004E02DE">
              <w:t>00249831</w:t>
            </w:r>
            <w:r w:rsidR="00D91DD5">
              <w:t xml:space="preserve"> / </w:t>
            </w:r>
            <w:r w:rsidR="00D62712">
              <w:t>CZ</w:t>
            </w:r>
            <w:r w:rsidRPr="004E02DE">
              <w:t>00249831</w:t>
            </w:r>
          </w:p>
        </w:tc>
      </w:tr>
      <w:tr w:rsidR="00D91DD5" w14:paraId="60A08F77" w14:textId="77777777" w:rsidTr="008744E2">
        <w:tc>
          <w:tcPr>
            <w:tcW w:w="4395" w:type="dxa"/>
          </w:tcPr>
          <w:p w14:paraId="6041C755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Adresa profilu zadavatele:</w:t>
            </w:r>
          </w:p>
        </w:tc>
        <w:tc>
          <w:tcPr>
            <w:tcW w:w="4677" w:type="dxa"/>
          </w:tcPr>
          <w:p w14:paraId="5688FEB7" w14:textId="3AB1962A" w:rsidR="00D91DD5" w:rsidRDefault="002B13D1" w:rsidP="009E5D9A">
            <w:pPr>
              <w:spacing w:before="120" w:after="120"/>
              <w:ind w:right="851"/>
            </w:pPr>
            <w:hyperlink r:id="rId10" w:history="1">
              <w:r w:rsidR="000610C2" w:rsidRPr="00B70F6C">
                <w:rPr>
                  <w:rStyle w:val="Hypertextovodkaz"/>
                  <w:rFonts w:cs="Arial"/>
                </w:rPr>
                <w:t>https://zakazky.milevsko-mesto.cz/</w:t>
              </w:r>
            </w:hyperlink>
          </w:p>
        </w:tc>
      </w:tr>
      <w:tr w:rsidR="00523FFE" w14:paraId="310B31B8" w14:textId="77777777" w:rsidTr="008744E2">
        <w:tc>
          <w:tcPr>
            <w:tcW w:w="4395" w:type="dxa"/>
          </w:tcPr>
          <w:p w14:paraId="0AACB208" w14:textId="77777777" w:rsidR="00523FFE" w:rsidRPr="000A1035" w:rsidRDefault="00523FFE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Osoba zastupující zadavatele ve věcech smluvních:</w:t>
            </w:r>
          </w:p>
        </w:tc>
        <w:tc>
          <w:tcPr>
            <w:tcW w:w="4677" w:type="dxa"/>
            <w:vAlign w:val="center"/>
          </w:tcPr>
          <w:p w14:paraId="5C5B55F9" w14:textId="77777777" w:rsidR="004E02DE" w:rsidRDefault="004E02DE" w:rsidP="009E5D9A">
            <w:pPr>
              <w:spacing w:before="120" w:after="120"/>
              <w:ind w:right="851"/>
            </w:pPr>
            <w:r>
              <w:t xml:space="preserve">Ing. Ivan Radosta, starosta města </w:t>
            </w:r>
          </w:p>
          <w:p w14:paraId="36FE0E98" w14:textId="36DE3E70" w:rsidR="004E02DE" w:rsidRDefault="004E02DE" w:rsidP="009E5D9A">
            <w:pPr>
              <w:spacing w:before="120" w:after="120"/>
              <w:ind w:right="851"/>
            </w:pPr>
            <w:r>
              <w:t>+420</w:t>
            </w:r>
            <w:r w:rsidR="001F03F4">
              <w:t> </w:t>
            </w:r>
            <w:r w:rsidR="001F03F4" w:rsidRPr="001F03F4">
              <w:t>602</w:t>
            </w:r>
            <w:r w:rsidR="00C13742">
              <w:t> </w:t>
            </w:r>
            <w:r w:rsidR="001F03F4" w:rsidRPr="001F03F4">
              <w:t>384</w:t>
            </w:r>
            <w:r w:rsidR="00C13742">
              <w:t xml:space="preserve"> </w:t>
            </w:r>
            <w:r w:rsidR="001F03F4" w:rsidRPr="001F03F4">
              <w:t>405</w:t>
            </w:r>
          </w:p>
          <w:p w14:paraId="1E36A2AB" w14:textId="3BFED650" w:rsidR="00523FFE" w:rsidRDefault="004E02DE" w:rsidP="00F8366A">
            <w:pPr>
              <w:spacing w:before="120" w:after="120"/>
              <w:ind w:right="851"/>
            </w:pPr>
            <w:r>
              <w:t xml:space="preserve">email: </w:t>
            </w:r>
            <w:hyperlink r:id="rId11" w:history="1">
              <w:r w:rsidR="001F03F4" w:rsidRPr="00394572">
                <w:rPr>
                  <w:rStyle w:val="Hypertextovodkaz"/>
                </w:rPr>
                <w:t>ivan.radosta@mesto-milevsko.cz</w:t>
              </w:r>
            </w:hyperlink>
            <w:r w:rsidR="00F8366A">
              <w:t xml:space="preserve"> </w:t>
            </w:r>
          </w:p>
        </w:tc>
      </w:tr>
      <w:tr w:rsidR="00D91DD5" w14:paraId="7D84E2BD" w14:textId="77777777" w:rsidTr="008744E2">
        <w:tc>
          <w:tcPr>
            <w:tcW w:w="4395" w:type="dxa"/>
          </w:tcPr>
          <w:p w14:paraId="157F3125" w14:textId="77777777" w:rsidR="00D91DD5" w:rsidRPr="000A1035" w:rsidRDefault="00D91DD5" w:rsidP="009E5D9A">
            <w:pPr>
              <w:spacing w:before="120" w:after="120"/>
              <w:ind w:right="851"/>
              <w:rPr>
                <w:b/>
              </w:rPr>
            </w:pPr>
            <w:r w:rsidRPr="000A1035">
              <w:rPr>
                <w:b/>
              </w:rPr>
              <w:t>Kontaktní osoba ve věcech zadávacího řízení:</w:t>
            </w:r>
          </w:p>
        </w:tc>
        <w:tc>
          <w:tcPr>
            <w:tcW w:w="4677" w:type="dxa"/>
            <w:vAlign w:val="center"/>
          </w:tcPr>
          <w:p w14:paraId="54AB042C" w14:textId="13A67671" w:rsidR="004E02DE" w:rsidRDefault="001F03F4" w:rsidP="009E5D9A">
            <w:pPr>
              <w:spacing w:before="120" w:after="120"/>
              <w:ind w:right="851"/>
              <w:jc w:val="left"/>
            </w:pPr>
            <w:r w:rsidRPr="001F03F4">
              <w:t xml:space="preserve">Vít Král, vedoucí OSŽM </w:t>
            </w:r>
          </w:p>
          <w:p w14:paraId="3FCBF1F6" w14:textId="070E2A07" w:rsidR="004E02DE" w:rsidRDefault="004E02DE" w:rsidP="009E5D9A">
            <w:pPr>
              <w:spacing w:before="120" w:after="120"/>
              <w:ind w:right="851"/>
              <w:jc w:val="left"/>
            </w:pPr>
            <w:r>
              <w:t>+420</w:t>
            </w:r>
            <w:r w:rsidR="001F03F4">
              <w:t> </w:t>
            </w:r>
            <w:r w:rsidR="001F03F4" w:rsidRPr="001F03F4">
              <w:t>775</w:t>
            </w:r>
            <w:r w:rsidR="00C13742">
              <w:t> </w:t>
            </w:r>
            <w:r w:rsidR="001F03F4" w:rsidRPr="001F03F4">
              <w:t>292</w:t>
            </w:r>
            <w:r w:rsidR="00C13742">
              <w:t xml:space="preserve"> </w:t>
            </w:r>
            <w:r w:rsidR="001F03F4" w:rsidRPr="001F03F4">
              <w:t>951</w:t>
            </w:r>
          </w:p>
          <w:p w14:paraId="4B8D0EFD" w14:textId="784C398D" w:rsidR="004E02DE" w:rsidRDefault="004E02DE" w:rsidP="009E5D9A">
            <w:pPr>
              <w:spacing w:before="120" w:after="120"/>
              <w:ind w:right="851"/>
              <w:jc w:val="left"/>
            </w:pPr>
            <w:r>
              <w:t xml:space="preserve">email: </w:t>
            </w:r>
            <w:hyperlink r:id="rId12" w:history="1">
              <w:r w:rsidR="001F03F4" w:rsidRPr="00394572">
                <w:rPr>
                  <w:rStyle w:val="Hypertextovodkaz"/>
                </w:rPr>
                <w:t>kral@zivemilevsko.cz</w:t>
              </w:r>
            </w:hyperlink>
            <w:r w:rsidR="00F8366A">
              <w:t xml:space="preserve"> </w:t>
            </w:r>
          </w:p>
        </w:tc>
      </w:tr>
    </w:tbl>
    <w:p w14:paraId="6DFB5CE6" w14:textId="55101995" w:rsidR="00BF1089" w:rsidRPr="00974C26" w:rsidRDefault="004E02DE" w:rsidP="009E5D9A">
      <w:pPr>
        <w:ind w:left="4820" w:right="851" w:hanging="4820"/>
      </w:pPr>
      <w:r>
        <w:t xml:space="preserve">Dále jen </w:t>
      </w:r>
      <w:r w:rsidRPr="004E02DE">
        <w:rPr>
          <w:b/>
        </w:rPr>
        <w:t>„Z</w:t>
      </w:r>
      <w:r w:rsidR="00BF1089" w:rsidRPr="004E02DE">
        <w:rPr>
          <w:b/>
        </w:rPr>
        <w:t>adavatel“</w:t>
      </w:r>
      <w:r w:rsidRPr="004E02DE">
        <w:t>.</w:t>
      </w:r>
    </w:p>
    <w:p w14:paraId="5F27E7A7" w14:textId="77777777" w:rsidR="009E4327" w:rsidRDefault="009E4327" w:rsidP="000610C2">
      <w:pPr>
        <w:pStyle w:val="Nadpis2"/>
        <w:ind w:left="709" w:hanging="709"/>
      </w:pPr>
      <w:bookmarkStart w:id="1" w:name="_Toc495314348"/>
      <w:r w:rsidRPr="009E4327">
        <w:t>Úvodní ustanovení</w:t>
      </w:r>
      <w:bookmarkEnd w:id="1"/>
    </w:p>
    <w:p w14:paraId="691F6ACF" w14:textId="75516921" w:rsidR="0041577A" w:rsidRDefault="0041577A" w:rsidP="009E5D9A">
      <w:pPr>
        <w:pStyle w:val="Nadpis3"/>
        <w:ind w:right="851"/>
      </w:pPr>
      <w:r>
        <w:t>Obecná ustanovení</w:t>
      </w:r>
    </w:p>
    <w:p w14:paraId="18EED480" w14:textId="16BDAB5D" w:rsidR="006E029C" w:rsidRDefault="00F37851" w:rsidP="009E5D9A">
      <w:pPr>
        <w:ind w:right="851"/>
      </w:pPr>
      <w:r>
        <w:t xml:space="preserve">Tato zadávací dokumentace </w:t>
      </w:r>
      <w:r w:rsidR="006E029C">
        <w:t xml:space="preserve">vymezuje předmět veřejné zakázky v podrobnostech nezbytných pro zpracování nabídky a účast dodavatele v zadávacím řízení. Zadávací dokumentace je pro účastníky zadávacího řízení závazná. </w:t>
      </w:r>
    </w:p>
    <w:p w14:paraId="1D5AFC62" w14:textId="32A730F9" w:rsidR="006E029C" w:rsidRDefault="006E029C" w:rsidP="009E5D9A">
      <w:pPr>
        <w:ind w:right="851"/>
      </w:pPr>
      <w:r>
        <w:t xml:space="preserve">Součástí zadávací dokumentace jsou všechny její přílohy ve struktuře popsané níže </w:t>
      </w:r>
      <w:r w:rsidR="00026846">
        <w:t>v článku</w:t>
      </w:r>
      <w:r>
        <w:t xml:space="preserve"> </w:t>
      </w:r>
      <w:r w:rsidR="008F597A">
        <w:t xml:space="preserve">18 </w:t>
      </w:r>
      <w:r>
        <w:t xml:space="preserve">zadávací dokumentace. </w:t>
      </w:r>
    </w:p>
    <w:p w14:paraId="13E96541" w14:textId="15203E24" w:rsidR="00922685" w:rsidRDefault="00922685" w:rsidP="009E5D9A">
      <w:pPr>
        <w:ind w:right="851"/>
      </w:pPr>
      <w:r w:rsidRPr="00E75EEA">
        <w:rPr>
          <w:rFonts w:cs="Arial"/>
        </w:rPr>
        <w:t xml:space="preserve">Zadávací dokumentace této veřejné zakázky je k dispozici na profilu zadavatele formou neomezeného dálkového přístupu na adrese: </w:t>
      </w:r>
      <w:hyperlink r:id="rId13" w:history="1">
        <w:r w:rsidR="004E02DE" w:rsidRPr="00B70F6C">
          <w:rPr>
            <w:rStyle w:val="Hypertextovodkaz"/>
            <w:rFonts w:cs="Arial"/>
          </w:rPr>
          <w:t>https://zakazky.milevsko-mesto.cz/</w:t>
        </w:r>
      </w:hyperlink>
      <w:r w:rsidR="004E02DE" w:rsidRPr="00C13742">
        <w:rPr>
          <w:rFonts w:cs="Arial"/>
        </w:rPr>
        <w:t xml:space="preserve"> .</w:t>
      </w:r>
    </w:p>
    <w:p w14:paraId="41C05D79" w14:textId="77777777" w:rsidR="00F37851" w:rsidRPr="00922685" w:rsidRDefault="00F37851" w:rsidP="009E5D9A">
      <w:pPr>
        <w:ind w:right="851"/>
        <w:rPr>
          <w:b/>
        </w:rPr>
      </w:pPr>
      <w:r w:rsidRPr="00922685">
        <w:rPr>
          <w:b/>
        </w:rPr>
        <w:t xml:space="preserve">Práva, povinnosti či podmínky v této zadávací dokumentaci neuvedené se řídí </w:t>
      </w:r>
      <w:r w:rsidR="006E029C" w:rsidRPr="00922685">
        <w:rPr>
          <w:b/>
        </w:rPr>
        <w:t>Z</w:t>
      </w:r>
      <w:r w:rsidRPr="00922685">
        <w:rPr>
          <w:b/>
        </w:rPr>
        <w:t xml:space="preserve">ZVZ a dalšími obecně závaznými právními předpisy. </w:t>
      </w:r>
    </w:p>
    <w:p w14:paraId="0BCEB61D" w14:textId="4DD1ABB2" w:rsidR="006E029C" w:rsidRDefault="006E029C" w:rsidP="009E5D9A">
      <w:pPr>
        <w:ind w:right="851"/>
      </w:pPr>
      <w:r>
        <w:lastRenderedPageBreak/>
        <w:t xml:space="preserve">Podáním nabídky do tohoto zadávacího řízení účastník zadávacího řízení přijímá a akceptuje plně a bez výhrad zadávací podmínky včetně případného následného vysvětlení zadávací dokumentace či změn </w:t>
      </w:r>
      <w:r w:rsidR="00C13742">
        <w:br/>
      </w:r>
      <w:r>
        <w:t xml:space="preserve">a doplnění zadávací dokumentace. Zadavatel předpokládá, že účastník zadávacího řízení před podáním nabídky pečlivě prostuduje všechny pokyny, specifikace a termíny obsažené v zadávacích podmínkách </w:t>
      </w:r>
      <w:r w:rsidR="00C13742">
        <w:br/>
      </w:r>
      <w:r>
        <w:t xml:space="preserve">a bude se jimi řídit. </w:t>
      </w:r>
    </w:p>
    <w:p w14:paraId="142D3122" w14:textId="77777777" w:rsidR="006E029C" w:rsidRDefault="006E029C" w:rsidP="009E5D9A">
      <w:pPr>
        <w:ind w:right="851"/>
      </w:pPr>
      <w:r>
        <w:t xml:space="preserve">Zadavatel nemůže vzít v úvahu žádnou výhradu účastníka zadávacího řízení k zadávacím podmínkám obsaženou v jeho nabídce. Jakákoliv výhrada nebo podmínka účastníka zadávacího řízení </w:t>
      </w:r>
      <w:r w:rsidR="00060D82">
        <w:t xml:space="preserve">může být </w:t>
      </w:r>
      <w:r>
        <w:t xml:space="preserve">považována za nesplnění zadávacích podmínek a </w:t>
      </w:r>
      <w:r w:rsidR="00060D82">
        <w:t xml:space="preserve">může </w:t>
      </w:r>
      <w:r>
        <w:t>představovat důvod pro vyloučení účastníka ze zadávacího řízení.</w:t>
      </w:r>
    </w:p>
    <w:p w14:paraId="3AA0F837" w14:textId="2638109B" w:rsidR="00D64F44" w:rsidRPr="00D64F44" w:rsidRDefault="00D64F44" w:rsidP="000610C2">
      <w:pPr>
        <w:pStyle w:val="Nadpis2"/>
        <w:ind w:left="709" w:hanging="709"/>
      </w:pPr>
      <w:bookmarkStart w:id="2" w:name="_Toc495314349"/>
      <w:r w:rsidRPr="00D64F44">
        <w:t>Vymezení druhu a předmětu veřejné zakázky</w:t>
      </w:r>
      <w:bookmarkEnd w:id="2"/>
    </w:p>
    <w:p w14:paraId="4C5F30A5" w14:textId="77777777" w:rsidR="00D64F44" w:rsidRDefault="00D64F44" w:rsidP="009E5D9A">
      <w:pPr>
        <w:pStyle w:val="Nadpis3"/>
        <w:ind w:right="851"/>
      </w:pPr>
      <w:r w:rsidRPr="00D64F44">
        <w:t xml:space="preserve">Druh </w:t>
      </w:r>
      <w:r w:rsidRPr="000E5E51">
        <w:t>veřejné</w:t>
      </w:r>
      <w:r>
        <w:t xml:space="preserve"> zakázky</w:t>
      </w:r>
    </w:p>
    <w:p w14:paraId="7AD9FB89" w14:textId="77777777" w:rsidR="00D64F44" w:rsidRPr="00145449" w:rsidRDefault="00D64F44" w:rsidP="009E5D9A">
      <w:pPr>
        <w:ind w:left="2694" w:right="851" w:hanging="2694"/>
      </w:pPr>
      <w:r w:rsidRPr="00145449">
        <w:t>Druh dle předmětu plnění:</w:t>
      </w:r>
      <w:r w:rsidRPr="00145449">
        <w:tab/>
      </w:r>
      <w:r w:rsidR="008744E2">
        <w:t xml:space="preserve">veřejná zakázka </w:t>
      </w:r>
      <w:r w:rsidR="00F37851" w:rsidRPr="00145449">
        <w:t xml:space="preserve">na </w:t>
      </w:r>
      <w:r w:rsidR="008636D5">
        <w:t>služby</w:t>
      </w:r>
    </w:p>
    <w:p w14:paraId="1793AF8F" w14:textId="466C194D" w:rsidR="00A66C3A" w:rsidRPr="00145449" w:rsidRDefault="00D64F44" w:rsidP="009E5D9A">
      <w:pPr>
        <w:ind w:left="2694" w:right="851" w:hanging="2694"/>
      </w:pPr>
      <w:r w:rsidRPr="00145449">
        <w:t>Druh dle finančního limitu:</w:t>
      </w:r>
      <w:r w:rsidRPr="00145449">
        <w:tab/>
      </w:r>
      <w:r w:rsidR="004E02DE">
        <w:t>zakázka malého rozsahu</w:t>
      </w:r>
    </w:p>
    <w:p w14:paraId="22711834" w14:textId="77777777" w:rsidR="00F41718" w:rsidRDefault="00F41718" w:rsidP="009E5D9A">
      <w:pPr>
        <w:pStyle w:val="Nadpis3"/>
        <w:ind w:right="851"/>
      </w:pPr>
      <w:r>
        <w:t>Popis předmětu veřejné zakázky</w:t>
      </w:r>
    </w:p>
    <w:p w14:paraId="1D4DFCDB" w14:textId="0EB32B59" w:rsidR="00335D79" w:rsidRDefault="00335D79" w:rsidP="009E5D9A">
      <w:pPr>
        <w:spacing w:before="120" w:after="120"/>
        <w:ind w:right="851"/>
      </w:pPr>
      <w:r>
        <w:t>Jedná se o veřejnou zakázku malého rozsahu na služby zadávanou mimo ZZVZ. Postup tohoto zadávacího řízení je upraven dokumentem OBECNÁ ČÁST PRAVIDEL PRO ŽADATELE A PŘÍJEMCE V RÁMCI OPERAČNÍHO PROGRAMU ZAMĚSTNANOST. Účelem zadávacího řízení je výběr nejvýhodnější nabídky, která bude vybrána podle kritérií stanovených v této zadávací dokumentaci.</w:t>
      </w:r>
    </w:p>
    <w:p w14:paraId="49DA947C" w14:textId="3E4CC5DA" w:rsidR="000610C2" w:rsidRPr="00592042" w:rsidRDefault="00335D79" w:rsidP="009E5D9A">
      <w:pPr>
        <w:spacing w:before="120" w:after="120"/>
        <w:ind w:right="851"/>
      </w:pPr>
      <w:r>
        <w:t xml:space="preserve">Zadavatel realizuje projekt </w:t>
      </w:r>
      <w:r>
        <w:rPr>
          <w:b/>
        </w:rPr>
        <w:t>„</w:t>
      </w:r>
      <w:r w:rsidRPr="00335D79">
        <w:rPr>
          <w:b/>
        </w:rPr>
        <w:t xml:space="preserve">Rozvoj konceptu Smart City v Milevsku: Živé </w:t>
      </w:r>
      <w:proofErr w:type="gramStart"/>
      <w:r w:rsidRPr="00335D79">
        <w:rPr>
          <w:b/>
        </w:rPr>
        <w:t>Milevsko - Smart</w:t>
      </w:r>
      <w:proofErr w:type="gramEnd"/>
      <w:r w:rsidRPr="00335D79">
        <w:rPr>
          <w:b/>
        </w:rPr>
        <w:t xml:space="preserve"> Region”,</w:t>
      </w:r>
      <w:r>
        <w:t xml:space="preserve"> registrační číslo </w:t>
      </w:r>
      <w:r w:rsidRPr="00335D79">
        <w:rPr>
          <w:b/>
        </w:rPr>
        <w:t>CZ.03.4.74/0.0/0.0/16_058/0007341</w:t>
      </w:r>
      <w:r>
        <w:t xml:space="preserve">, který je financován z Evropského sociálního fondu a státního rozpočtu ČR prostřednictvím Operačního programu </w:t>
      </w:r>
      <w:r w:rsidRPr="00592042">
        <w:t>Zaměstnanost</w:t>
      </w:r>
      <w:r w:rsidR="00E3059E" w:rsidRPr="00592042">
        <w:t xml:space="preserve"> (Výzva č. 058 pro územní samosprávné celky)</w:t>
      </w:r>
      <w:r w:rsidRPr="00592042">
        <w:t>.</w:t>
      </w:r>
    </w:p>
    <w:p w14:paraId="5520BD80" w14:textId="77777777" w:rsidR="00335D79" w:rsidRDefault="00335D79" w:rsidP="0039503F">
      <w:pPr>
        <w:spacing w:after="120"/>
        <w:ind w:right="851"/>
      </w:pPr>
      <w:r>
        <w:t>Vzhledem k rozmanitosti předmětu veřejné zakázky se zadavatel rozhodl rozdělit a zadat tuto zakázku do 4 samostatných částí:</w:t>
      </w:r>
    </w:p>
    <w:p w14:paraId="6412C8A4" w14:textId="50B70E8E" w:rsidR="00335D79" w:rsidRPr="0039503F" w:rsidRDefault="00C27B6E" w:rsidP="0039503F">
      <w:pPr>
        <w:spacing w:after="120"/>
        <w:ind w:right="851"/>
        <w:rPr>
          <w:i/>
        </w:rPr>
      </w:pPr>
      <w:r w:rsidRPr="000610C2">
        <w:rPr>
          <w:b/>
        </w:rPr>
        <w:t xml:space="preserve">1. </w:t>
      </w:r>
      <w:r w:rsidR="00335D79" w:rsidRPr="000610C2">
        <w:rPr>
          <w:b/>
        </w:rPr>
        <w:t xml:space="preserve">část: Strategický rozvojový dokument Rozvoj Smart City v Milevsku: Živé </w:t>
      </w:r>
      <w:proofErr w:type="gramStart"/>
      <w:r w:rsidR="00335D79" w:rsidRPr="000610C2">
        <w:rPr>
          <w:b/>
        </w:rPr>
        <w:t>Milevsko - Smart</w:t>
      </w:r>
      <w:proofErr w:type="gramEnd"/>
      <w:r w:rsidR="00335D79" w:rsidRPr="000610C2">
        <w:rPr>
          <w:b/>
        </w:rPr>
        <w:t xml:space="preserve"> Region</w:t>
      </w:r>
      <w:r w:rsidR="00AA2A61">
        <w:rPr>
          <w:b/>
        </w:rPr>
        <w:t xml:space="preserve"> </w:t>
      </w:r>
      <w:r w:rsidR="00AA2A61" w:rsidRPr="0039503F">
        <w:rPr>
          <w:i/>
        </w:rPr>
        <w:t>– tato část zakázky byla zadána v samostatné výzvě</w:t>
      </w:r>
    </w:p>
    <w:p w14:paraId="3FA8200F" w14:textId="4439BE5F" w:rsidR="00335D79" w:rsidRPr="000610C2" w:rsidRDefault="00C27B6E" w:rsidP="0039503F">
      <w:pPr>
        <w:spacing w:after="120"/>
        <w:ind w:right="851"/>
        <w:rPr>
          <w:i/>
        </w:rPr>
      </w:pPr>
      <w:r w:rsidRPr="0039503F">
        <w:rPr>
          <w:b/>
        </w:rPr>
        <w:t>2.</w:t>
      </w:r>
      <w:r w:rsidRPr="000610C2">
        <w:rPr>
          <w:b/>
        </w:rPr>
        <w:t xml:space="preserve"> </w:t>
      </w:r>
      <w:r w:rsidR="00335D79" w:rsidRPr="000610C2">
        <w:rPr>
          <w:b/>
        </w:rPr>
        <w:t xml:space="preserve">část: Strategie rozvoje podnikatelského parku Milevsko současně se strategií podpory malého a středního podnikání v Milevsku a strategie inkubačního a akceleračního programu v </w:t>
      </w:r>
      <w:proofErr w:type="gramStart"/>
      <w:r w:rsidR="00335D79" w:rsidRPr="000610C2">
        <w:rPr>
          <w:b/>
        </w:rPr>
        <w:t>Milevsku</w:t>
      </w:r>
      <w:r w:rsidR="00335D79" w:rsidRPr="00335D79">
        <w:rPr>
          <w:b/>
        </w:rPr>
        <w:t xml:space="preserve"> </w:t>
      </w:r>
      <w:r w:rsidR="008E6350">
        <w:rPr>
          <w:b/>
        </w:rPr>
        <w:t xml:space="preserve"> -</w:t>
      </w:r>
      <w:proofErr w:type="gramEnd"/>
      <w:r w:rsidR="008E6350">
        <w:rPr>
          <w:b/>
        </w:rPr>
        <w:t xml:space="preserve"> </w:t>
      </w:r>
      <w:r w:rsidR="00335D79" w:rsidRPr="000610C2">
        <w:rPr>
          <w:i/>
        </w:rPr>
        <w:t xml:space="preserve">tato část zakázky </w:t>
      </w:r>
      <w:r w:rsidR="00FB7C97">
        <w:rPr>
          <w:i/>
        </w:rPr>
        <w:t>byla</w:t>
      </w:r>
      <w:r w:rsidR="00335D79" w:rsidRPr="000610C2">
        <w:rPr>
          <w:i/>
        </w:rPr>
        <w:t xml:space="preserve"> zadána v samostatné výzvě</w:t>
      </w:r>
    </w:p>
    <w:p w14:paraId="2FE2A92E" w14:textId="0DBFFC20" w:rsidR="00335D79" w:rsidRPr="000610C2" w:rsidRDefault="00C27B6E" w:rsidP="0039503F">
      <w:pPr>
        <w:spacing w:after="120"/>
        <w:ind w:right="851"/>
        <w:rPr>
          <w:i/>
        </w:rPr>
      </w:pPr>
      <w:r w:rsidRPr="000610C2">
        <w:rPr>
          <w:b/>
        </w:rPr>
        <w:t xml:space="preserve">3. </w:t>
      </w:r>
      <w:r w:rsidR="00335D79" w:rsidRPr="000610C2">
        <w:rPr>
          <w:b/>
        </w:rPr>
        <w:t xml:space="preserve">část: Strategie rozvoje dopravy a veřejného prostoru </w:t>
      </w:r>
    </w:p>
    <w:p w14:paraId="2581195D" w14:textId="5B3AFB91" w:rsidR="00335D79" w:rsidRPr="000610C2" w:rsidRDefault="00C27B6E" w:rsidP="0039503F">
      <w:pPr>
        <w:spacing w:after="120"/>
        <w:ind w:right="851"/>
        <w:rPr>
          <w:i/>
        </w:rPr>
      </w:pPr>
      <w:r w:rsidRPr="000610C2">
        <w:rPr>
          <w:b/>
        </w:rPr>
        <w:lastRenderedPageBreak/>
        <w:t xml:space="preserve">4. </w:t>
      </w:r>
      <w:r w:rsidR="00335D79" w:rsidRPr="000610C2">
        <w:rPr>
          <w:b/>
        </w:rPr>
        <w:t xml:space="preserve">část: Strategie rozvoje </w:t>
      </w:r>
      <w:proofErr w:type="spellStart"/>
      <w:r w:rsidR="00335D79" w:rsidRPr="000610C2">
        <w:rPr>
          <w:b/>
        </w:rPr>
        <w:t>eCulture</w:t>
      </w:r>
      <w:proofErr w:type="spellEnd"/>
      <w:r w:rsidR="00335D79" w:rsidRPr="000610C2">
        <w:rPr>
          <w:b/>
        </w:rPr>
        <w:t>, sportu a cestovního ruchu</w:t>
      </w:r>
      <w:r w:rsidR="00335D79" w:rsidRPr="000610C2">
        <w:rPr>
          <w:i/>
        </w:rPr>
        <w:t xml:space="preserve"> –</w:t>
      </w:r>
      <w:r w:rsidR="0005710A">
        <w:rPr>
          <w:i/>
        </w:rPr>
        <w:t xml:space="preserve"> </w:t>
      </w:r>
      <w:r w:rsidR="00335D79" w:rsidRPr="000610C2">
        <w:rPr>
          <w:i/>
        </w:rPr>
        <w:t>tato část zakázky bude zadávána v samostatné výzvě</w:t>
      </w:r>
    </w:p>
    <w:p w14:paraId="51434E73" w14:textId="42375117" w:rsidR="00335D79" w:rsidRPr="00334076" w:rsidRDefault="00335D79" w:rsidP="009E5D9A">
      <w:pPr>
        <w:spacing w:before="120" w:after="120"/>
        <w:ind w:right="851"/>
        <w:rPr>
          <w:b/>
          <w:u w:val="single"/>
        </w:rPr>
      </w:pPr>
      <w:r w:rsidRPr="00334076">
        <w:rPr>
          <w:b/>
          <w:u w:val="single"/>
        </w:rPr>
        <w:t xml:space="preserve">Vymezení předmětu plnění </w:t>
      </w:r>
      <w:r w:rsidR="00F47E3D">
        <w:rPr>
          <w:b/>
          <w:u w:val="single"/>
        </w:rPr>
        <w:t>3.</w:t>
      </w:r>
      <w:r w:rsidR="00BF3F51">
        <w:rPr>
          <w:b/>
          <w:u w:val="single"/>
        </w:rPr>
        <w:t xml:space="preserve"> </w:t>
      </w:r>
      <w:r w:rsidRPr="00334076">
        <w:rPr>
          <w:b/>
          <w:u w:val="single"/>
        </w:rPr>
        <w:t>části</w:t>
      </w:r>
      <w:r w:rsidR="00F47E3D">
        <w:rPr>
          <w:b/>
          <w:u w:val="single"/>
        </w:rPr>
        <w:t>:</w:t>
      </w:r>
      <w:r w:rsidRPr="00334076">
        <w:rPr>
          <w:b/>
          <w:u w:val="single"/>
        </w:rPr>
        <w:t xml:space="preserve"> </w:t>
      </w:r>
      <w:r w:rsidR="00F47E3D" w:rsidRPr="00F47E3D">
        <w:rPr>
          <w:b/>
          <w:u w:val="single"/>
        </w:rPr>
        <w:t>Strategie rozvoje dopravy a veřejného prostoru</w:t>
      </w:r>
    </w:p>
    <w:p w14:paraId="4840937C" w14:textId="3FBFE285" w:rsidR="00181328" w:rsidRDefault="00335D79" w:rsidP="00181328">
      <w:pPr>
        <w:spacing w:before="120" w:after="120"/>
        <w:ind w:right="851"/>
        <w:rPr>
          <w:b/>
        </w:rPr>
      </w:pPr>
      <w:r>
        <w:t xml:space="preserve">Předmětem veřejné zakázky je </w:t>
      </w:r>
      <w:r w:rsidRPr="00F47E3D">
        <w:rPr>
          <w:b/>
        </w:rPr>
        <w:t xml:space="preserve">zpracování strategického rozvojového dokumentu </w:t>
      </w:r>
      <w:r w:rsidR="00181328" w:rsidRPr="00F47E3D">
        <w:rPr>
          <w:b/>
        </w:rPr>
        <w:t>Strategie rozvoje dopravy a veřejného prostoru v Milevsku „Plán udrž</w:t>
      </w:r>
      <w:r w:rsidR="00181328" w:rsidRPr="000D0AF3">
        <w:rPr>
          <w:b/>
        </w:rPr>
        <w:t>itelné městské mobility (PUMM),</w:t>
      </w:r>
      <w:r w:rsidR="00181328">
        <w:rPr>
          <w:b/>
        </w:rPr>
        <w:t xml:space="preserve"> </w:t>
      </w:r>
      <w:r w:rsidR="00181328" w:rsidRPr="00F47E3D">
        <w:rPr>
          <w:b/>
        </w:rPr>
        <w:t>aneb Veřejný prostor a doprava v projektu Živé Milevsko, Smart Region“.</w:t>
      </w:r>
    </w:p>
    <w:p w14:paraId="303D8BE1" w14:textId="0C54ABF2" w:rsidR="00181328" w:rsidRPr="00F47E3D" w:rsidRDefault="00181328" w:rsidP="00181328">
      <w:pPr>
        <w:spacing w:before="120" w:after="120"/>
        <w:ind w:right="851"/>
      </w:pPr>
      <w:r w:rsidRPr="00F47E3D">
        <w:t>Plnění bude r</w:t>
      </w:r>
      <w:r w:rsidR="000D0AF3" w:rsidRPr="000D0AF3">
        <w:t>ozděleno do tří logických celků</w:t>
      </w:r>
      <w:r w:rsidR="004127C9">
        <w:t>:</w:t>
      </w:r>
    </w:p>
    <w:p w14:paraId="29204001" w14:textId="0896768E" w:rsidR="00181328" w:rsidRPr="00F47E3D" w:rsidRDefault="00181328" w:rsidP="00F47E3D">
      <w:pPr>
        <w:pStyle w:val="Odstavecseseznamem"/>
        <w:numPr>
          <w:ilvl w:val="0"/>
          <w:numId w:val="54"/>
        </w:numPr>
        <w:spacing w:before="120" w:after="120"/>
        <w:ind w:right="851"/>
        <w:rPr>
          <w:rFonts w:cstheme="minorHAnsi"/>
          <w:b/>
        </w:rPr>
      </w:pPr>
      <w:r w:rsidRPr="00F47E3D">
        <w:rPr>
          <w:rFonts w:cstheme="minorHAnsi"/>
          <w:b/>
        </w:rPr>
        <w:t xml:space="preserve">Analytická </w:t>
      </w:r>
      <w:r w:rsidR="00261047">
        <w:rPr>
          <w:rFonts w:cstheme="minorHAnsi"/>
          <w:b/>
        </w:rPr>
        <w:t>fáze</w:t>
      </w:r>
      <w:r w:rsidRPr="000D0AF3">
        <w:rPr>
          <w:rFonts w:cstheme="minorHAnsi"/>
        </w:rPr>
        <w:t xml:space="preserve"> </w:t>
      </w:r>
    </w:p>
    <w:p w14:paraId="047C8B05" w14:textId="7F59DE3A" w:rsidR="00181328" w:rsidRPr="00F47E3D" w:rsidRDefault="000D0AF3" w:rsidP="00F47E3D">
      <w:pPr>
        <w:pStyle w:val="Odstavecseseznamem"/>
        <w:numPr>
          <w:ilvl w:val="0"/>
          <w:numId w:val="54"/>
        </w:numPr>
        <w:rPr>
          <w:rFonts w:cstheme="minorHAnsi"/>
          <w:b/>
        </w:rPr>
      </w:pPr>
      <w:r w:rsidRPr="000D0AF3">
        <w:rPr>
          <w:rFonts w:cstheme="minorHAnsi"/>
          <w:b/>
        </w:rPr>
        <w:t>Strategická</w:t>
      </w:r>
      <w:r w:rsidR="00261047">
        <w:rPr>
          <w:rFonts w:cstheme="minorHAnsi"/>
          <w:b/>
        </w:rPr>
        <w:t xml:space="preserve"> fáze</w:t>
      </w:r>
      <w:r w:rsidRPr="000D0AF3">
        <w:rPr>
          <w:rFonts w:cstheme="minorHAnsi"/>
          <w:b/>
        </w:rPr>
        <w:t xml:space="preserve"> (návrhová) definování cílů/ výstupů</w:t>
      </w:r>
    </w:p>
    <w:p w14:paraId="1E2579C8" w14:textId="3F61E78D" w:rsidR="00335D79" w:rsidRPr="00F47E3D" w:rsidRDefault="00181328" w:rsidP="00F47E3D">
      <w:pPr>
        <w:pStyle w:val="Odstavecseseznamem"/>
        <w:numPr>
          <w:ilvl w:val="0"/>
          <w:numId w:val="54"/>
        </w:numPr>
        <w:rPr>
          <w:b/>
        </w:rPr>
      </w:pPr>
      <w:r w:rsidRPr="005968AC">
        <w:rPr>
          <w:rFonts w:cstheme="minorHAnsi"/>
          <w:b/>
        </w:rPr>
        <w:t>Akční plán</w:t>
      </w:r>
      <w:r w:rsidRPr="005968AC">
        <w:rPr>
          <w:rFonts w:cstheme="minorHAnsi"/>
        </w:rPr>
        <w:t xml:space="preserve"> </w:t>
      </w:r>
      <w:r w:rsidR="005968AC">
        <w:rPr>
          <w:b/>
        </w:rPr>
        <w:t>(</w:t>
      </w:r>
      <w:r w:rsidR="005968AC" w:rsidRPr="005968AC">
        <w:rPr>
          <w:b/>
        </w:rPr>
        <w:t>Implementační část, včetně monitorování a evaluace</w:t>
      </w:r>
      <w:r w:rsidR="005968AC">
        <w:rPr>
          <w:b/>
        </w:rPr>
        <w:t>)</w:t>
      </w:r>
    </w:p>
    <w:p w14:paraId="422D55C9" w14:textId="7950BB63" w:rsidR="00F41718" w:rsidRPr="004F7588" w:rsidRDefault="00335D79" w:rsidP="009E5D9A">
      <w:pPr>
        <w:spacing w:before="120" w:after="120"/>
        <w:ind w:right="851"/>
      </w:pPr>
      <w:r>
        <w:t xml:space="preserve">Podrobný popis a specifikace předmětu zakázky pro tuto část je uveden </w:t>
      </w:r>
      <w:r w:rsidR="003E1251">
        <w:t xml:space="preserve">jako </w:t>
      </w:r>
      <w:r w:rsidR="003E1251" w:rsidRPr="003E1251">
        <w:t xml:space="preserve">Bližší specifikace předmětu plnění </w:t>
      </w:r>
      <w:proofErr w:type="gramStart"/>
      <w:r w:rsidR="003E1251" w:rsidRPr="003E1251">
        <w:t xml:space="preserve">zakázky </w:t>
      </w:r>
      <w:r w:rsidR="003E1251">
        <w:t xml:space="preserve">- </w:t>
      </w:r>
      <w:r>
        <w:t>v</w:t>
      </w:r>
      <w:r w:rsidR="003E1251">
        <w:t>iz</w:t>
      </w:r>
      <w:proofErr w:type="gramEnd"/>
      <w:r>
        <w:t xml:space="preserve"> </w:t>
      </w:r>
      <w:r w:rsidR="003E1251">
        <w:rPr>
          <w:b/>
        </w:rPr>
        <w:t>P</w:t>
      </w:r>
      <w:r w:rsidRPr="003E1251">
        <w:rPr>
          <w:b/>
        </w:rPr>
        <w:t>řílo</w:t>
      </w:r>
      <w:r w:rsidR="003E1251" w:rsidRPr="003E1251">
        <w:rPr>
          <w:b/>
        </w:rPr>
        <w:t>ha</w:t>
      </w:r>
      <w:r w:rsidRPr="003E1251">
        <w:rPr>
          <w:b/>
        </w:rPr>
        <w:t xml:space="preserve"> č. 6</w:t>
      </w:r>
      <w:r>
        <w:t xml:space="preserve"> této Zadávací dokumentace (dále jen </w:t>
      </w:r>
      <w:r w:rsidRPr="0005710A">
        <w:rPr>
          <w:b/>
        </w:rPr>
        <w:t>„ZD“</w:t>
      </w:r>
      <w:r>
        <w:t xml:space="preserve">). </w:t>
      </w:r>
    </w:p>
    <w:p w14:paraId="6040E758" w14:textId="77777777" w:rsidR="00D64F44" w:rsidRDefault="006C16E4" w:rsidP="009E5D9A">
      <w:pPr>
        <w:pStyle w:val="Nadpis3"/>
        <w:ind w:right="851"/>
      </w:pPr>
      <w:r>
        <w:t>Předpokládaná hodnota veřejné zakázky</w:t>
      </w:r>
    </w:p>
    <w:p w14:paraId="34F80751" w14:textId="667C13EE" w:rsidR="00F37851" w:rsidRDefault="00F37851" w:rsidP="009E5D9A">
      <w:pPr>
        <w:ind w:right="851"/>
      </w:pPr>
      <w:r>
        <w:t xml:space="preserve">Zadavatel v souladu s § </w:t>
      </w:r>
      <w:r w:rsidR="00B368A7">
        <w:t>16</w:t>
      </w:r>
      <w:r>
        <w:t xml:space="preserve"> a násl. </w:t>
      </w:r>
      <w:r w:rsidR="00B368A7">
        <w:t>Z</w:t>
      </w:r>
      <w:r>
        <w:t xml:space="preserve">ZVZ stanovil </w:t>
      </w:r>
      <w:r w:rsidR="00B368A7">
        <w:t xml:space="preserve">před zahájením zadávacího řízení </w:t>
      </w:r>
      <w:r>
        <w:t>předpokládanou hodnotu veřejné zakázky</w:t>
      </w:r>
      <w:r w:rsidR="00382E0F">
        <w:t xml:space="preserve"> na </w:t>
      </w:r>
      <w:r>
        <w:t xml:space="preserve">částku v celkové </w:t>
      </w:r>
      <w:r w:rsidRPr="00026846">
        <w:t xml:space="preserve">výši </w:t>
      </w:r>
      <w:r w:rsidR="00B36A6A">
        <w:rPr>
          <w:u w:val="single"/>
        </w:rPr>
        <w:t>1.605.000</w:t>
      </w:r>
      <w:r w:rsidR="00674D3A" w:rsidRPr="00674D3A">
        <w:rPr>
          <w:u w:val="single"/>
        </w:rPr>
        <w:t>,-</w:t>
      </w:r>
      <w:r w:rsidRPr="00DA2CCC">
        <w:rPr>
          <w:u w:val="single"/>
        </w:rPr>
        <w:t xml:space="preserve"> Kč bez DPH</w:t>
      </w:r>
      <w:r w:rsidR="00F014F4">
        <w:rPr>
          <w:u w:val="single"/>
        </w:rPr>
        <w:t>.</w:t>
      </w:r>
      <w:r w:rsidR="00925B88">
        <w:t xml:space="preserve"> </w:t>
      </w:r>
    </w:p>
    <w:p w14:paraId="7DA6F699" w14:textId="30FE866D" w:rsidR="00AA2A61" w:rsidRPr="000610C2" w:rsidRDefault="003E1251" w:rsidP="0039503F">
      <w:pPr>
        <w:spacing w:before="0"/>
        <w:ind w:right="851"/>
        <w:rPr>
          <w:b/>
          <w:i/>
        </w:rPr>
      </w:pPr>
      <w:r>
        <w:t>•</w:t>
      </w:r>
      <w:r>
        <w:tab/>
        <w:t xml:space="preserve">Předpokládaná hodnota 1. </w:t>
      </w:r>
      <w:proofErr w:type="gramStart"/>
      <w:r>
        <w:t>části:</w:t>
      </w:r>
      <w:r w:rsidR="00F96ABF">
        <w:t xml:space="preserve"> </w:t>
      </w:r>
      <w:r>
        <w:t xml:space="preserve"> </w:t>
      </w:r>
      <w:r w:rsidR="00B36A6A">
        <w:t>374.250</w:t>
      </w:r>
      <w:proofErr w:type="gramEnd"/>
      <w:r>
        <w:t>,00 Kč bez příslušné sazby DPH</w:t>
      </w:r>
      <w:r w:rsidR="00AA2A61">
        <w:t xml:space="preserve"> </w:t>
      </w:r>
      <w:r w:rsidR="00AA2A61" w:rsidRPr="000610C2">
        <w:rPr>
          <w:b/>
          <w:i/>
        </w:rPr>
        <w:t>–</w:t>
      </w:r>
      <w:r w:rsidR="00AA2A61">
        <w:rPr>
          <w:b/>
          <w:i/>
        </w:rPr>
        <w:t xml:space="preserve"> </w:t>
      </w:r>
      <w:r w:rsidR="00AA2A61" w:rsidRPr="000610C2">
        <w:rPr>
          <w:b/>
          <w:i/>
        </w:rPr>
        <w:t>tato část zakázky b</w:t>
      </w:r>
      <w:r w:rsidR="00AA2A61">
        <w:rPr>
          <w:b/>
          <w:i/>
        </w:rPr>
        <w:t>yla</w:t>
      </w:r>
      <w:r w:rsidR="00AA2A61" w:rsidRPr="000610C2">
        <w:rPr>
          <w:b/>
          <w:i/>
        </w:rPr>
        <w:t xml:space="preserve"> zadá</w:t>
      </w:r>
      <w:r w:rsidR="00AA2A61">
        <w:rPr>
          <w:b/>
          <w:i/>
        </w:rPr>
        <w:t>na</w:t>
      </w:r>
      <w:r w:rsidR="00AA2A61" w:rsidRPr="000610C2">
        <w:rPr>
          <w:b/>
          <w:i/>
        </w:rPr>
        <w:t xml:space="preserve"> v samostatné výzvě</w:t>
      </w:r>
    </w:p>
    <w:p w14:paraId="6C4196D7" w14:textId="654C6E68" w:rsidR="003E1251" w:rsidRPr="000610C2" w:rsidRDefault="003E1251" w:rsidP="0039503F">
      <w:pPr>
        <w:spacing w:before="0"/>
        <w:ind w:right="851"/>
        <w:rPr>
          <w:b/>
          <w:i/>
        </w:rPr>
      </w:pPr>
      <w:r>
        <w:t>•</w:t>
      </w:r>
      <w:r>
        <w:tab/>
        <w:t xml:space="preserve">Předpokládaná hodnota 2. části: </w:t>
      </w:r>
      <w:r w:rsidR="00B36A6A">
        <w:t>378.100</w:t>
      </w:r>
      <w:r>
        <w:t xml:space="preserve">,00 Kč bez příslušné sazby DPH </w:t>
      </w:r>
      <w:r w:rsidRPr="000610C2">
        <w:rPr>
          <w:b/>
          <w:i/>
        </w:rPr>
        <w:t>–</w:t>
      </w:r>
      <w:r w:rsidR="00F96ABF">
        <w:rPr>
          <w:b/>
          <w:i/>
        </w:rPr>
        <w:t xml:space="preserve"> </w:t>
      </w:r>
      <w:r w:rsidRPr="000610C2">
        <w:rPr>
          <w:b/>
          <w:i/>
        </w:rPr>
        <w:t xml:space="preserve">tato část zakázky </w:t>
      </w:r>
      <w:r w:rsidR="00FB7C97">
        <w:rPr>
          <w:b/>
          <w:i/>
        </w:rPr>
        <w:t xml:space="preserve">byla </w:t>
      </w:r>
      <w:r w:rsidRPr="000610C2">
        <w:rPr>
          <w:b/>
          <w:i/>
        </w:rPr>
        <w:t>zadána v samostatné výzvě</w:t>
      </w:r>
    </w:p>
    <w:p w14:paraId="2B4499FD" w14:textId="2902854D" w:rsidR="003E1251" w:rsidRPr="000610C2" w:rsidRDefault="003E1251" w:rsidP="0039503F">
      <w:pPr>
        <w:spacing w:before="0"/>
        <w:ind w:right="851"/>
        <w:rPr>
          <w:b/>
          <w:i/>
        </w:rPr>
      </w:pPr>
      <w:r>
        <w:t>•</w:t>
      </w:r>
      <w:r>
        <w:tab/>
        <w:t xml:space="preserve">Předpokládaná hodnota 3. části: </w:t>
      </w:r>
      <w:r w:rsidR="00B36A6A">
        <w:t>562.650</w:t>
      </w:r>
      <w:r>
        <w:t xml:space="preserve">,00 Kč bez příslušné sazby DPH </w:t>
      </w:r>
    </w:p>
    <w:p w14:paraId="1390F844" w14:textId="615EEC54" w:rsidR="003E1251" w:rsidRPr="000610C2" w:rsidRDefault="003E1251" w:rsidP="0039503F">
      <w:pPr>
        <w:spacing w:before="0"/>
        <w:ind w:right="851"/>
        <w:rPr>
          <w:b/>
          <w:i/>
        </w:rPr>
      </w:pPr>
      <w:r>
        <w:t>•</w:t>
      </w:r>
      <w:r>
        <w:tab/>
        <w:t xml:space="preserve">Předpokládaná hodnota 4. části: </w:t>
      </w:r>
      <w:r w:rsidR="00B36A6A">
        <w:t>290.000</w:t>
      </w:r>
      <w:r>
        <w:t xml:space="preserve">,00 Kč bez příslušné sazby DPH </w:t>
      </w:r>
      <w:r w:rsidRPr="000610C2">
        <w:rPr>
          <w:b/>
          <w:i/>
        </w:rPr>
        <w:t>–</w:t>
      </w:r>
      <w:r w:rsidR="00F96ABF">
        <w:rPr>
          <w:b/>
          <w:i/>
        </w:rPr>
        <w:t xml:space="preserve"> </w:t>
      </w:r>
      <w:r w:rsidRPr="000610C2">
        <w:rPr>
          <w:b/>
          <w:i/>
        </w:rPr>
        <w:t>tato část zakázky bude zadávána v samostatné výzvě</w:t>
      </w:r>
    </w:p>
    <w:p w14:paraId="3F851DBA" w14:textId="2EDABC54" w:rsidR="00DE326A" w:rsidRDefault="00925B88" w:rsidP="0039503F">
      <w:pPr>
        <w:pStyle w:val="Nadpis3"/>
        <w:spacing w:before="0"/>
        <w:ind w:right="851"/>
      </w:pPr>
      <w:r>
        <w:tab/>
      </w:r>
      <w:r w:rsidR="00DE326A">
        <w:t>Klasifikace předmětu veřejné zakázky</w:t>
      </w:r>
    </w:p>
    <w:p w14:paraId="7EA64CB1" w14:textId="13CBB6D2" w:rsidR="00205A51" w:rsidRPr="0039503F" w:rsidRDefault="00DE326A" w:rsidP="00F47E3D">
      <w:pPr>
        <w:pStyle w:val="Podnadpis"/>
        <w:spacing w:before="0"/>
        <w:ind w:right="851"/>
        <w:rPr>
          <w:rFonts w:asciiTheme="minorHAnsi" w:hAnsiTheme="minorHAnsi"/>
          <w:sz w:val="22"/>
          <w:szCs w:val="22"/>
        </w:rPr>
      </w:pPr>
      <w:r w:rsidRPr="00523FFE">
        <w:rPr>
          <w:rFonts w:asciiTheme="minorHAnsi" w:hAnsiTheme="minorHAnsi"/>
          <w:sz w:val="22"/>
          <w:szCs w:val="22"/>
        </w:rPr>
        <w:t>CPV:</w:t>
      </w:r>
      <w:r w:rsidRPr="00523FFE">
        <w:rPr>
          <w:rFonts w:asciiTheme="minorHAnsi" w:hAnsiTheme="minorHAnsi"/>
          <w:sz w:val="22"/>
          <w:szCs w:val="22"/>
        </w:rPr>
        <w:tab/>
      </w:r>
      <w:r w:rsidR="008E6350">
        <w:t>71300000-1: Technicko-inženýrské služby</w:t>
      </w:r>
    </w:p>
    <w:p w14:paraId="0945A3BB" w14:textId="4CD91012" w:rsidR="008E6350" w:rsidRDefault="008E6350" w:rsidP="0039503F">
      <w:pPr>
        <w:spacing w:before="0"/>
        <w:ind w:firstLine="708"/>
        <w:rPr>
          <w:lang w:eastAsia="cs-CZ"/>
        </w:rPr>
      </w:pPr>
      <w:r>
        <w:rPr>
          <w:lang w:eastAsia="cs-CZ"/>
        </w:rPr>
        <w:t>71242000-6: Příprava návrhů a projektů, odhad nákladů</w:t>
      </w:r>
    </w:p>
    <w:p w14:paraId="18D90F57" w14:textId="77777777" w:rsidR="00F47E3D" w:rsidRDefault="00F47E3D" w:rsidP="0039503F">
      <w:pPr>
        <w:spacing w:before="0"/>
        <w:ind w:firstLine="708"/>
        <w:rPr>
          <w:lang w:eastAsia="cs-CZ"/>
        </w:rPr>
      </w:pPr>
    </w:p>
    <w:p w14:paraId="5A2E31BA" w14:textId="77777777" w:rsidR="00F47E3D" w:rsidRPr="00154E01" w:rsidRDefault="00F47E3D" w:rsidP="0039503F">
      <w:pPr>
        <w:spacing w:before="0"/>
        <w:ind w:firstLine="708"/>
        <w:rPr>
          <w:lang w:eastAsia="cs-CZ"/>
        </w:rPr>
      </w:pPr>
    </w:p>
    <w:p w14:paraId="234B1A8B" w14:textId="77777777" w:rsidR="00CB63B9" w:rsidRDefault="00CB63B9" w:rsidP="009E5D9A">
      <w:pPr>
        <w:pStyle w:val="Nadpis3"/>
        <w:ind w:right="851"/>
      </w:pPr>
      <w:r>
        <w:t>Doba plnění veřejné zakázky</w:t>
      </w:r>
    </w:p>
    <w:p w14:paraId="5F89AFD1" w14:textId="77777777" w:rsidR="000D0AF3" w:rsidRDefault="000D0AF3" w:rsidP="000D0AF3">
      <w:pPr>
        <w:keepNext/>
        <w:keepLines/>
        <w:ind w:right="851"/>
      </w:pPr>
      <w:r>
        <w:lastRenderedPageBreak/>
        <w:t>Zadavatel pro zpracování nabídky stanoví následující podmínky vztahující se ke lhůtě plnění.</w:t>
      </w:r>
    </w:p>
    <w:p w14:paraId="402ACE0D" w14:textId="77777777" w:rsidR="000D0AF3" w:rsidRPr="00217B73" w:rsidRDefault="000D0AF3" w:rsidP="000D0AF3">
      <w:pPr>
        <w:keepNext/>
        <w:keepLines/>
        <w:ind w:right="851"/>
        <w:rPr>
          <w:b/>
        </w:rPr>
      </w:pPr>
      <w:r w:rsidRPr="00217B73">
        <w:rPr>
          <w:b/>
        </w:rPr>
        <w:t>Předpokládaný termín zahájení plnění:</w:t>
      </w:r>
    </w:p>
    <w:p w14:paraId="452F9C7E" w14:textId="77777777" w:rsidR="000D0AF3" w:rsidRDefault="000D0AF3" w:rsidP="000D0AF3">
      <w:pPr>
        <w:keepNext/>
        <w:keepLines/>
        <w:ind w:right="851"/>
      </w:pPr>
      <w:r>
        <w:t>Termín zahájení prací se předpokládá do 2 týdnů od podpisu smlouvy s vybraným dodavatelem.</w:t>
      </w:r>
    </w:p>
    <w:p w14:paraId="4E936A76" w14:textId="77777777" w:rsidR="000D0AF3" w:rsidRPr="00217B73" w:rsidRDefault="000D0AF3" w:rsidP="000D0AF3">
      <w:pPr>
        <w:keepNext/>
        <w:keepLines/>
        <w:ind w:right="851"/>
        <w:rPr>
          <w:b/>
        </w:rPr>
      </w:pPr>
      <w:r w:rsidRPr="00217B73">
        <w:rPr>
          <w:b/>
        </w:rPr>
        <w:t>Maximální termín dokončení všech prací:</w:t>
      </w:r>
    </w:p>
    <w:p w14:paraId="47BBD15F" w14:textId="79D824F0" w:rsidR="000D0AF3" w:rsidRDefault="000D0AF3" w:rsidP="000D0AF3">
      <w:pPr>
        <w:keepNext/>
        <w:keepLines/>
        <w:ind w:right="851"/>
      </w:pPr>
      <w:r>
        <w:t xml:space="preserve">Termín dokončení prací se předpokládá do </w:t>
      </w:r>
      <w:r w:rsidR="0027142D">
        <w:t>5</w:t>
      </w:r>
      <w:r w:rsidR="003D1970">
        <w:t xml:space="preserve"> měsíců od zahájení prací</w:t>
      </w:r>
      <w:r>
        <w:t>. V případě, že z jakýchkoliv důvodů na straně zadavatele nebude možné dodržet termín zahájení plnění, je zadavatel oprávněn posunout tento termín na jinou dobu, uchazečem navržená délka doby plnění zůstává nezměněna</w:t>
      </w:r>
      <w:r w:rsidR="00FF4F55">
        <w:t>.</w:t>
      </w:r>
    </w:p>
    <w:p w14:paraId="008200E4" w14:textId="77777777" w:rsidR="0014613B" w:rsidRDefault="0014613B" w:rsidP="009E5D9A">
      <w:pPr>
        <w:pStyle w:val="Nadpis3"/>
        <w:ind w:right="851"/>
      </w:pPr>
      <w:r>
        <w:t>Místo plnění veřejné zakázky</w:t>
      </w:r>
    </w:p>
    <w:p w14:paraId="1668CB93" w14:textId="4ACB0A02" w:rsidR="0068714C" w:rsidRDefault="0068714C" w:rsidP="009E5D9A">
      <w:pPr>
        <w:spacing w:after="0"/>
        <w:ind w:right="851"/>
      </w:pPr>
      <w:r w:rsidRPr="000301F8">
        <w:t xml:space="preserve">Místem plnění </w:t>
      </w:r>
      <w:r>
        <w:t xml:space="preserve">veřejné zakázky </w:t>
      </w:r>
      <w:r w:rsidR="00C92AD1">
        <w:t>j</w:t>
      </w:r>
      <w:r w:rsidR="00CE7B1F">
        <w:t>e</w:t>
      </w:r>
      <w:r>
        <w:t>:</w:t>
      </w:r>
    </w:p>
    <w:p w14:paraId="69D83F38" w14:textId="77777777" w:rsidR="00CE7B1F" w:rsidRDefault="00371188" w:rsidP="00CE7B1F">
      <w:pPr>
        <w:spacing w:before="0" w:after="0"/>
        <w:ind w:left="720" w:right="851"/>
      </w:pPr>
      <w:r w:rsidRPr="00371188">
        <w:t xml:space="preserve">Milevsko 1, </w:t>
      </w:r>
    </w:p>
    <w:p w14:paraId="5F90289A" w14:textId="77777777" w:rsidR="00CE7B1F" w:rsidRDefault="00371188" w:rsidP="00CE7B1F">
      <w:pPr>
        <w:spacing w:before="0" w:after="0"/>
        <w:ind w:left="720" w:right="851"/>
      </w:pPr>
      <w:r w:rsidRPr="00371188">
        <w:t xml:space="preserve">nám. E. Beneše 420, </w:t>
      </w:r>
    </w:p>
    <w:p w14:paraId="4D568857" w14:textId="38727C3B" w:rsidR="0068714C" w:rsidRDefault="00371188" w:rsidP="00CE7B1F">
      <w:pPr>
        <w:spacing w:before="0" w:after="0"/>
        <w:ind w:left="720" w:right="851"/>
      </w:pPr>
      <w:r w:rsidRPr="00371188">
        <w:t>PSČ 399 01</w:t>
      </w:r>
      <w:r w:rsidR="0068714C">
        <w:t xml:space="preserve"> </w:t>
      </w:r>
    </w:p>
    <w:p w14:paraId="044ACA49" w14:textId="77777777" w:rsidR="00DF6BB8" w:rsidRDefault="006A24C2" w:rsidP="000610C2">
      <w:pPr>
        <w:pStyle w:val="Nadpis2"/>
        <w:ind w:left="709" w:hanging="709"/>
      </w:pPr>
      <w:bookmarkStart w:id="3" w:name="_Toc495314350"/>
      <w:r>
        <w:t>POŽADAVKY NA KVALIFIKACI</w:t>
      </w:r>
      <w:bookmarkEnd w:id="3"/>
    </w:p>
    <w:p w14:paraId="4889CFAA" w14:textId="77777777" w:rsidR="00334076" w:rsidRDefault="00334076" w:rsidP="009E5D9A">
      <w:pPr>
        <w:pStyle w:val="Nadpis3"/>
        <w:ind w:right="851"/>
      </w:pPr>
      <w:r w:rsidRPr="00334076">
        <w:t>Seznam kvalifikovaných dodavatelů</w:t>
      </w:r>
    </w:p>
    <w:p w14:paraId="69F09AE6" w14:textId="1B2B6176" w:rsidR="00334076" w:rsidRPr="00334076" w:rsidRDefault="009A5154" w:rsidP="009E5D9A">
      <w:pPr>
        <w:ind w:right="851"/>
      </w:pPr>
      <w:r>
        <w:t>Dodavatelé</w:t>
      </w:r>
      <w:r w:rsidR="00C27B6E" w:rsidRPr="00C27B6E">
        <w:t xml:space="preserve"> mohou k prokázání základních kvalifikačních předpokladů a profesních kvalifikačních předpokladů využít výpisu ze seznamu kvalifikovaných dodavatelů</w:t>
      </w:r>
      <w:r w:rsidR="00CE7B1F">
        <w:t xml:space="preserve"> v p</w:t>
      </w:r>
      <w:r w:rsidR="00CE7B1F" w:rsidRPr="00CE7B1F">
        <w:t>rost</w:t>
      </w:r>
      <w:r w:rsidR="00CE7B1F">
        <w:t>é</w:t>
      </w:r>
      <w:r w:rsidR="00CE7B1F" w:rsidRPr="00CE7B1F">
        <w:t xml:space="preserve"> kopii</w:t>
      </w:r>
      <w:r w:rsidR="00C27B6E" w:rsidRPr="00C27B6E">
        <w:t xml:space="preserve">. Zadavatel v tomto případě nepožaduje předložit jiné dokumenty nebo doklady k prokázání splnění základních kvalifikačních předpokladů v jiném </w:t>
      </w:r>
      <w:proofErr w:type="gramStart"/>
      <w:r w:rsidR="00C27B6E" w:rsidRPr="00C27B6E">
        <w:t>rozsahu</w:t>
      </w:r>
      <w:proofErr w:type="gramEnd"/>
      <w:r w:rsidR="00C27B6E" w:rsidRPr="00C27B6E">
        <w:t xml:space="preserve"> než je výpis ze seznamu kvalifikovaných dodavatelů. Výpis ze seznamu nesmí být k poslednímu dni lhůty pro prokázání splnění kvalifikace, starší než 90 dnů</w:t>
      </w:r>
      <w:r w:rsidR="00E749D2">
        <w:t>.</w:t>
      </w:r>
    </w:p>
    <w:p w14:paraId="3CBE485F" w14:textId="77777777" w:rsidR="00334076" w:rsidRDefault="00334076" w:rsidP="009E5D9A">
      <w:pPr>
        <w:pStyle w:val="Nadpis3"/>
        <w:ind w:right="851"/>
      </w:pPr>
      <w:r w:rsidRPr="00334076">
        <w:t>Systém certifikovaných dodavatelů</w:t>
      </w:r>
    </w:p>
    <w:p w14:paraId="344E82BA" w14:textId="6A46A5EF" w:rsidR="00C27B6E" w:rsidRPr="00C27B6E" w:rsidRDefault="009A5154" w:rsidP="009E5D9A">
      <w:pPr>
        <w:ind w:right="851"/>
      </w:pPr>
      <w:r>
        <w:t>Dodavatelé</w:t>
      </w:r>
      <w:r w:rsidR="00C27B6E" w:rsidRPr="00C27B6E">
        <w:t xml:space="preserve"> mohou k prokázání kvalifikačních předpokladů využít</w:t>
      </w:r>
      <w:r w:rsidR="00CE7B1F" w:rsidRPr="00CE7B1F">
        <w:t xml:space="preserve"> </w:t>
      </w:r>
      <w:r w:rsidR="00CE7B1F">
        <w:t>p</w:t>
      </w:r>
      <w:r w:rsidR="00CE7B1F" w:rsidRPr="00CE7B1F">
        <w:t>rostou kopii</w:t>
      </w:r>
      <w:r w:rsidR="00C27B6E" w:rsidRPr="00C27B6E">
        <w:t xml:space="preserve"> certifikátu vydaného v rámci systému certifikovaných dodavatelů obsahující náležitosti, ne staršího než 1 rok od data podání nabídky. Tento certifikát nahrazuje prokázání kvalifikace </w:t>
      </w:r>
      <w:r>
        <w:t>dodavatele</w:t>
      </w:r>
      <w:r w:rsidR="00C27B6E" w:rsidRPr="00C27B6E">
        <w:t xml:space="preserve"> v rozsahu v něm uvedených údajů. Systém certifikovaných dodavatelů</w:t>
      </w:r>
      <w:r w:rsidR="00E749D2">
        <w:t>.</w:t>
      </w:r>
    </w:p>
    <w:p w14:paraId="4A46663B" w14:textId="77777777" w:rsidR="00DF6BB8" w:rsidRDefault="00DF6BB8" w:rsidP="009E5D9A">
      <w:pPr>
        <w:pStyle w:val="Nadpis3"/>
        <w:ind w:right="851"/>
      </w:pPr>
      <w:r>
        <w:t xml:space="preserve">Změny v kvalifikaci </w:t>
      </w:r>
      <w:r w:rsidR="004A7A5F">
        <w:t>účastníka zadávacího řízení</w:t>
      </w:r>
    </w:p>
    <w:p w14:paraId="4B1FEE38" w14:textId="77777777" w:rsidR="009E5D9A" w:rsidRDefault="004A7A5F" w:rsidP="00B24D05">
      <w:pPr>
        <w:spacing w:after="120"/>
        <w:ind w:right="851"/>
      </w:pPr>
      <w: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zadavateli nové doklady </w:t>
      </w:r>
      <w:r>
        <w:lastRenderedPageBreak/>
        <w:t>nebo prohlášení ke kvalifikaci. Tato povinnost účastníku zadávacího řízení nevzniká, pokud je kvalifikace změněna takovým způsobem, že</w:t>
      </w:r>
      <w:r w:rsidR="009E5D9A">
        <w:t xml:space="preserve">:  </w:t>
      </w:r>
    </w:p>
    <w:p w14:paraId="681C410B" w14:textId="633FC331" w:rsidR="009E5D9A" w:rsidRPr="004A7A5F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4A7A5F">
        <w:rPr>
          <w:bCs/>
        </w:rPr>
        <w:t>podmínky kvalifikace jsou nadále splněny,</w:t>
      </w:r>
    </w:p>
    <w:p w14:paraId="25F4E236" w14:textId="20301D9F" w:rsidR="009E5D9A" w:rsidRPr="00CD65FB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CD65FB">
        <w:rPr>
          <w:bCs/>
        </w:rPr>
        <w:t>nedošlo k ovlivnění kritérií pro snížení počtu účastníků zadávacího řízení nebo nabídek a</w:t>
      </w:r>
    </w:p>
    <w:p w14:paraId="1F8ADD77" w14:textId="70ED2909" w:rsidR="009E5D9A" w:rsidRPr="008F597A" w:rsidRDefault="004A7A5F" w:rsidP="008F597A">
      <w:pPr>
        <w:pStyle w:val="Odstavecseseznamem"/>
        <w:numPr>
          <w:ilvl w:val="0"/>
          <w:numId w:val="43"/>
        </w:numPr>
        <w:rPr>
          <w:bCs/>
        </w:rPr>
      </w:pPr>
      <w:r w:rsidRPr="008F597A">
        <w:rPr>
          <w:bCs/>
        </w:rPr>
        <w:t>nedošlo k ovlivnění kritérií hodnocení nabídek.</w:t>
      </w:r>
      <w:r w:rsidR="009E5D9A" w:rsidRPr="008F597A">
        <w:rPr>
          <w:bCs/>
        </w:rPr>
        <w:t xml:space="preserve"> </w:t>
      </w:r>
    </w:p>
    <w:p w14:paraId="5C17A457" w14:textId="07476044" w:rsidR="00DF6BB8" w:rsidRDefault="00DF6BB8" w:rsidP="009E5D9A">
      <w:pPr>
        <w:pStyle w:val="Nadpis3"/>
        <w:ind w:right="851"/>
      </w:pPr>
      <w:r>
        <w:t xml:space="preserve">Výzva k objasnění </w:t>
      </w:r>
      <w:r w:rsidR="00BA28A6">
        <w:t>údajů</w:t>
      </w:r>
      <w:r>
        <w:t xml:space="preserve"> </w:t>
      </w:r>
      <w:r w:rsidR="00BA28A6">
        <w:t>a</w:t>
      </w:r>
      <w:r>
        <w:t xml:space="preserve"> dokladů předložených </w:t>
      </w:r>
      <w:r w:rsidR="0054132C">
        <w:t>účastníkem</w:t>
      </w:r>
      <w:r>
        <w:t xml:space="preserve"> </w:t>
      </w:r>
    </w:p>
    <w:p w14:paraId="2BE1864D" w14:textId="123CCB4F" w:rsidR="00DF6BB8" w:rsidRDefault="00BA28A6" w:rsidP="009E5D9A">
      <w:pPr>
        <w:ind w:right="851"/>
      </w:pPr>
      <w:r w:rsidRPr="00BA28A6">
        <w:t>Zadavatel může pro účely zajištění řádného průběhu zadávacího řízení požadovat, aby účastník zadávacího řízení v přiměřené lhůtě objasnil předložené údaje</w:t>
      </w:r>
      <w:r>
        <w:t xml:space="preserve"> a</w:t>
      </w:r>
      <w:r w:rsidRPr="00BA28A6">
        <w:t xml:space="preserve"> doklady nebo doplnil další nebo chybějící údaje a doklady. Účastník zadávacího řízení je povinen vyhovět takovému požadavku zadavatele.</w:t>
      </w:r>
    </w:p>
    <w:p w14:paraId="05E9F6D7" w14:textId="77777777" w:rsidR="00DF6BB8" w:rsidRDefault="00DF6BB8" w:rsidP="000610C2">
      <w:pPr>
        <w:pStyle w:val="Nadpis2"/>
        <w:ind w:left="709" w:hanging="709"/>
      </w:pPr>
      <w:bookmarkStart w:id="4" w:name="_Toc495314351"/>
      <w:r>
        <w:t xml:space="preserve">Základní </w:t>
      </w:r>
      <w:r w:rsidR="00BA28A6">
        <w:t>ZPŮSOBILOST</w:t>
      </w:r>
      <w:bookmarkEnd w:id="4"/>
    </w:p>
    <w:p w14:paraId="160BE262" w14:textId="02C3A34F" w:rsidR="00435CD6" w:rsidRDefault="0015553E" w:rsidP="0039503F">
      <w:pPr>
        <w:spacing w:after="0"/>
        <w:ind w:right="851"/>
        <w:rPr>
          <w:rStyle w:val="Hyperlink1"/>
        </w:rPr>
      </w:pPr>
      <w:bookmarkStart w:id="5" w:name="_Ref456939139"/>
      <w:r>
        <w:rPr>
          <w:rStyle w:val="Hyperlink1"/>
        </w:rPr>
        <w:t>Zadavatel požaduje, aby d</w:t>
      </w:r>
      <w:r w:rsidR="00435CD6">
        <w:rPr>
          <w:rStyle w:val="Hyperlink1"/>
        </w:rPr>
        <w:t>odavatel prokáza</w:t>
      </w:r>
      <w:r>
        <w:rPr>
          <w:rStyle w:val="Hyperlink1"/>
        </w:rPr>
        <w:t>l</w:t>
      </w:r>
      <w:r w:rsidR="00435CD6">
        <w:rPr>
          <w:rStyle w:val="Hyperlink1"/>
        </w:rPr>
        <w:t xml:space="preserve"> základní způsobilost v</w:t>
      </w:r>
      <w:r w:rsidR="003D3AD0">
        <w:rPr>
          <w:rStyle w:val="Hyperlink1"/>
        </w:rPr>
        <w:t> </w:t>
      </w:r>
      <w:r w:rsidR="00435CD6">
        <w:rPr>
          <w:rStyle w:val="Hyperlink1"/>
        </w:rPr>
        <w:t>rozsahu</w:t>
      </w:r>
      <w:r w:rsidR="003D3AD0">
        <w:rPr>
          <w:rStyle w:val="Hyperlink1"/>
        </w:rPr>
        <w:t>:</w:t>
      </w:r>
    </w:p>
    <w:p w14:paraId="2800AC32" w14:textId="77777777" w:rsidR="008F597A" w:rsidRPr="00CE7B1F" w:rsidRDefault="008F597A" w:rsidP="0039503F">
      <w:pPr>
        <w:numPr>
          <w:ilvl w:val="0"/>
          <w:numId w:val="45"/>
        </w:numPr>
        <w:spacing w:after="0"/>
        <w:ind w:left="426" w:right="851"/>
      </w:pPr>
      <w:r w:rsidRPr="00CE7B1F"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nepřihlíží. 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 Účastní-li se zadávacího řízení pobočka závodu zahraniční právnické osoby, musí tuto podmínku splňovat tato právnická osoba a vedoucí pobočky závodu. Účastní-li se zadávacího řízení pobočka závodu české právnické osoby, musí tuto podmínku splňovat tato právnická osoba a zároveň každý člen statutárního orgánu a vedoucí pobočky závodu; je-li členem statutárního orgánu dodavatele právnická osoba, musí tuto podmínku splňovat tato právnická osoba, každý člen statutárního orgánu této právnické osoby a osoba zastupující tuto právnickou osobu v statutárním orgánu dodavatele.</w:t>
      </w:r>
    </w:p>
    <w:p w14:paraId="3CDACD69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v evidenci daní zachycen splatný daňový nedoplatek,</w:t>
      </w:r>
    </w:p>
    <w:p w14:paraId="3107076B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splatný nedoplatek na pojistném nebo na penále na veřejné zdravotní pojištění,</w:t>
      </w:r>
    </w:p>
    <w:p w14:paraId="75B45847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nemá v České republice nebo v zemi svého sídla splatný nedoplatek na pojistném nebo na penále na sociální zabezpečení a příspěvku na státní politiku zaměstnanosti,</w:t>
      </w:r>
    </w:p>
    <w:p w14:paraId="22AB95C7" w14:textId="77777777" w:rsidR="008F597A" w:rsidRPr="00CE7B1F" w:rsidRDefault="008F597A" w:rsidP="008F597A">
      <w:pPr>
        <w:numPr>
          <w:ilvl w:val="0"/>
          <w:numId w:val="45"/>
        </w:numPr>
        <w:spacing w:before="0" w:after="0"/>
        <w:ind w:left="426" w:right="851"/>
      </w:pPr>
      <w:r w:rsidRPr="00CE7B1F">
        <w:t>není v likvidaci, nebylo proti němu vydáno rozhodnutí o úpadku, nebyla vůči němu nařízena nucená správa podle jiného právního předpisu nebo není v obdobné situaci podle právního řádu země svého sídla,</w:t>
      </w:r>
    </w:p>
    <w:bookmarkEnd w:id="5"/>
    <w:p w14:paraId="7AA0FDD0" w14:textId="667D300B" w:rsidR="00BA28A6" w:rsidRPr="00372F3F" w:rsidRDefault="00334076" w:rsidP="009E5D9A">
      <w:pPr>
        <w:keepNext/>
        <w:keepLines/>
        <w:spacing w:before="120"/>
        <w:ind w:right="851"/>
      </w:pPr>
      <w:r>
        <w:lastRenderedPageBreak/>
        <w:t xml:space="preserve">Zadavatel požaduje, aby </w:t>
      </w:r>
      <w:r w:rsidR="009A5154">
        <w:t>dodavatel</w:t>
      </w:r>
      <w:r>
        <w:t xml:space="preserve"> prokázal splnění základních kvalifikačních předpokladů podepsaným čestným prohlášením.</w:t>
      </w:r>
      <w:r w:rsidR="009152C0">
        <w:t xml:space="preserve"> </w:t>
      </w:r>
      <w:r w:rsidR="00372F3F" w:rsidRPr="00372F3F">
        <w:t>Vzorové čestné prohlášení k prokázání základní způsobilosti poskytuje zadavatel v </w:t>
      </w:r>
      <w:r w:rsidR="00372F3F" w:rsidRPr="00974C26">
        <w:rPr>
          <w:b/>
        </w:rPr>
        <w:t xml:space="preserve">Příloze č. </w:t>
      </w:r>
      <w:r w:rsidR="00B036C4">
        <w:rPr>
          <w:b/>
        </w:rPr>
        <w:t>2</w:t>
      </w:r>
      <w:r w:rsidR="00B036C4">
        <w:t xml:space="preserve"> </w:t>
      </w:r>
      <w:r w:rsidR="00372F3F">
        <w:t xml:space="preserve">této </w:t>
      </w:r>
      <w:r w:rsidR="00B036C4">
        <w:t>ZD</w:t>
      </w:r>
      <w:r w:rsidR="00372F3F">
        <w:t>.</w:t>
      </w:r>
    </w:p>
    <w:p w14:paraId="0D360C74" w14:textId="77777777" w:rsidR="001561B6" w:rsidRDefault="001561B6" w:rsidP="000610C2">
      <w:pPr>
        <w:pStyle w:val="Nadpis2"/>
        <w:ind w:left="709" w:hanging="709"/>
      </w:pPr>
      <w:bookmarkStart w:id="6" w:name="_Toc495314352"/>
      <w:r>
        <w:t xml:space="preserve">Profesní </w:t>
      </w:r>
      <w:r w:rsidR="00372F3F">
        <w:t>ZPŮSOBILOST</w:t>
      </w:r>
      <w:bookmarkEnd w:id="6"/>
    </w:p>
    <w:p w14:paraId="181E5BEE" w14:textId="4AFBAFD3" w:rsidR="00334076" w:rsidRDefault="00334076" w:rsidP="009E5D9A">
      <w:pPr>
        <w:pStyle w:val="Bezmezer"/>
        <w:numPr>
          <w:ilvl w:val="0"/>
          <w:numId w:val="0"/>
        </w:numPr>
        <w:ind w:right="851"/>
      </w:pPr>
      <w:r>
        <w:t>Zadavatel požaduje, aby dodavatel v nabídce doložil:</w:t>
      </w:r>
    </w:p>
    <w:p w14:paraId="5FB98789" w14:textId="77777777" w:rsidR="00334076" w:rsidRDefault="00334076" w:rsidP="009E5D9A">
      <w:pPr>
        <w:pStyle w:val="Bezmezer"/>
        <w:numPr>
          <w:ilvl w:val="0"/>
          <w:numId w:val="0"/>
        </w:numPr>
        <w:ind w:right="851"/>
      </w:pPr>
      <w:r>
        <w:t>Prostou kopii výpisu z obchodního rejstříku ne staršího jak 90 dnů k poslednímu dni, ke kterému má být prokázáno splnění kvalifikace, pokud je v něm zapsán, či výpis z jiné obdobné evidence, pokud je v ní zapsán.</w:t>
      </w:r>
    </w:p>
    <w:p w14:paraId="6D88633A" w14:textId="60FED5A0" w:rsidR="003D1111" w:rsidRDefault="00334076" w:rsidP="009E5D9A">
      <w:pPr>
        <w:pStyle w:val="Bezmezer"/>
        <w:numPr>
          <w:ilvl w:val="0"/>
          <w:numId w:val="0"/>
        </w:numPr>
        <w:ind w:right="851"/>
      </w:pPr>
      <w:r>
        <w:t>Prostou kopii dokladu o oprávnění k podnikání podle zvláštních právních předpisů v rozsahu odpovídajícím předmětu veřejné zakázky, tzn. doklad prokazující příslušné živnostenské oprávnění</w:t>
      </w:r>
      <w:r w:rsidR="00CB565C">
        <w:t>.</w:t>
      </w:r>
    </w:p>
    <w:p w14:paraId="2453A4E7" w14:textId="77777777" w:rsidR="001561B6" w:rsidRDefault="007B4E40" w:rsidP="000610C2">
      <w:pPr>
        <w:pStyle w:val="Nadpis2"/>
        <w:ind w:left="709" w:hanging="709"/>
      </w:pPr>
      <w:bookmarkStart w:id="7" w:name="_Toc495314353"/>
      <w:r>
        <w:t>Technick</w:t>
      </w:r>
      <w:r w:rsidR="00EC464F">
        <w:t>Á KVALIFIKACE</w:t>
      </w:r>
      <w:bookmarkEnd w:id="7"/>
    </w:p>
    <w:p w14:paraId="210426B2" w14:textId="2F05FD4B" w:rsidR="00934751" w:rsidRDefault="00EC464F" w:rsidP="009E5D9A">
      <w:pPr>
        <w:ind w:right="851"/>
      </w:pPr>
      <w:r>
        <w:t>K</w:t>
      </w:r>
      <w:r w:rsidR="00CE7B1F">
        <w:t xml:space="preserve"> zakázce </w:t>
      </w:r>
      <w:r w:rsidR="00934751">
        <w:t xml:space="preserve">Strategické rozvojové dokumenty: </w:t>
      </w:r>
      <w:r w:rsidR="009861C0" w:rsidRPr="009861C0">
        <w:t>3. část: Strategie rozvoje dopravy a veřejného prostoru</w:t>
      </w:r>
    </w:p>
    <w:p w14:paraId="13766899" w14:textId="77777777" w:rsidR="004A265C" w:rsidRPr="004A265C" w:rsidRDefault="004A265C" w:rsidP="004A265C">
      <w:pPr>
        <w:pStyle w:val="Odstavecseseznamem"/>
        <w:numPr>
          <w:ilvl w:val="0"/>
          <w:numId w:val="58"/>
        </w:numPr>
        <w:spacing w:before="0" w:after="0" w:line="240" w:lineRule="auto"/>
        <w:contextualSpacing w:val="0"/>
        <w:jc w:val="left"/>
        <w:rPr>
          <w:rFonts w:ascii="Calibri" w:hAnsi="Calibri"/>
          <w:color w:val="000000" w:themeColor="text1"/>
        </w:rPr>
      </w:pPr>
      <w:r w:rsidRPr="004A265C">
        <w:rPr>
          <w:color w:val="000000" w:themeColor="text1"/>
        </w:rPr>
        <w:t>Dodavatel prokáže splnění technické kvalifikace doložením přehledu o realizovaných zakázkách nebo grantech a složením řešitelského týmu. Zadavatel předloží:</w:t>
      </w:r>
    </w:p>
    <w:p w14:paraId="40976D8E" w14:textId="77777777" w:rsidR="004A265C" w:rsidRPr="004A265C" w:rsidRDefault="004A265C" w:rsidP="004A265C">
      <w:pPr>
        <w:pStyle w:val="Odstavecseseznamem"/>
        <w:numPr>
          <w:ilvl w:val="1"/>
          <w:numId w:val="58"/>
        </w:numPr>
        <w:spacing w:before="0" w:after="0" w:line="240" w:lineRule="auto"/>
        <w:contextualSpacing w:val="0"/>
        <w:jc w:val="left"/>
        <w:rPr>
          <w:color w:val="000000" w:themeColor="text1"/>
        </w:rPr>
      </w:pPr>
      <w:r w:rsidRPr="004A265C">
        <w:rPr>
          <w:color w:val="000000" w:themeColor="text1"/>
        </w:rPr>
        <w:t>seznam provedených zakázek nebo grantů v posledních 3 letech týkající se:</w:t>
      </w:r>
    </w:p>
    <w:p w14:paraId="0C52AE5D" w14:textId="518D49B7" w:rsidR="004A265C" w:rsidRPr="004A265C" w:rsidRDefault="004A265C" w:rsidP="004A265C">
      <w:pPr>
        <w:spacing w:before="0" w:after="0" w:line="240" w:lineRule="auto"/>
        <w:ind w:left="1980"/>
        <w:jc w:val="left"/>
        <w:rPr>
          <w:color w:val="000000" w:themeColor="text1"/>
        </w:rPr>
      </w:pPr>
      <w:r>
        <w:rPr>
          <w:color w:val="000000" w:themeColor="text1"/>
        </w:rPr>
        <w:t>I.</w:t>
      </w:r>
      <w:r w:rsidDel="004A265C">
        <w:rPr>
          <w:color w:val="000000" w:themeColor="text1"/>
        </w:rPr>
        <w:t xml:space="preserve"> </w:t>
      </w:r>
      <w:r w:rsidRPr="004A265C">
        <w:rPr>
          <w:color w:val="000000" w:themeColor="text1"/>
        </w:rPr>
        <w:t>minimálně 2 služeb v oblasti tvorby strategického dokumentu nebo aplikovaného výzkumu týkající se problematiky regionální mobility, Smart City, moderních dopravních systémů a prostředků (včetně autonomní dopravy), měření a zpracování dat z dopravního prostředí (měření dopravních dat, měření environmentálních dat, sociometrické analýzy apod.) nebo souvisejících, přičemž alespoň jedna zakázka bude v min. hodnotě 200 tis. Kč bez DPH.</w:t>
      </w:r>
    </w:p>
    <w:p w14:paraId="5AF7EE17" w14:textId="77777777" w:rsidR="004A265C" w:rsidRPr="004A265C" w:rsidRDefault="004A265C" w:rsidP="004A265C">
      <w:pPr>
        <w:pStyle w:val="Odstavecseseznamem"/>
        <w:numPr>
          <w:ilvl w:val="1"/>
          <w:numId w:val="58"/>
        </w:numPr>
        <w:spacing w:before="0" w:after="0" w:line="240" w:lineRule="auto"/>
        <w:contextualSpacing w:val="0"/>
        <w:jc w:val="left"/>
        <w:rPr>
          <w:color w:val="000000" w:themeColor="text1"/>
        </w:rPr>
      </w:pPr>
      <w:r w:rsidRPr="004A265C">
        <w:rPr>
          <w:color w:val="000000" w:themeColor="text1"/>
        </w:rPr>
        <w:t>seznam řešitelského týmu s doloženou kvalifikací s kontakty pro ověření, jehož členové musí splňovat:</w:t>
      </w:r>
    </w:p>
    <w:p w14:paraId="7475CD0E" w14:textId="7D219B95" w:rsidR="004A265C" w:rsidRPr="004A265C" w:rsidRDefault="004A265C" w:rsidP="004A265C">
      <w:pPr>
        <w:pStyle w:val="Odstavecseseznamem"/>
        <w:numPr>
          <w:ilvl w:val="2"/>
          <w:numId w:val="58"/>
        </w:numPr>
        <w:spacing w:before="0" w:after="0" w:line="240" w:lineRule="auto"/>
        <w:jc w:val="left"/>
        <w:rPr>
          <w:color w:val="000000" w:themeColor="text1"/>
        </w:rPr>
      </w:pPr>
      <w:r w:rsidRPr="004A265C">
        <w:rPr>
          <w:color w:val="000000" w:themeColor="text1"/>
        </w:rPr>
        <w:t>vysokoškolské vzdělání v oboru souvisejícím s řešením problematiky dopravy a mobility;</w:t>
      </w:r>
    </w:p>
    <w:p w14:paraId="66489715" w14:textId="77777777" w:rsidR="004A265C" w:rsidRPr="004A265C" w:rsidRDefault="004A265C" w:rsidP="004A265C">
      <w:pPr>
        <w:pStyle w:val="Odstavecseseznamem"/>
        <w:numPr>
          <w:ilvl w:val="2"/>
          <w:numId w:val="58"/>
        </w:numPr>
        <w:spacing w:before="0" w:after="0" w:line="240" w:lineRule="auto"/>
        <w:contextualSpacing w:val="0"/>
        <w:jc w:val="left"/>
        <w:rPr>
          <w:color w:val="000000" w:themeColor="text1"/>
        </w:rPr>
      </w:pPr>
      <w:r w:rsidRPr="004A265C">
        <w:rPr>
          <w:color w:val="000000" w:themeColor="text1"/>
        </w:rPr>
        <w:t>alespoň jeden člen řešitelského týmu musí mít minimálně jednu referenci na aktivní členství v mezinárodní odborně uznávané komunitě zabývající se mobilitou nebo bezpečností pozemní dopravy alespoň na úrovni Evropské Unie trvající minimálně 3 roky;</w:t>
      </w:r>
    </w:p>
    <w:p w14:paraId="09D8EA5B" w14:textId="77777777" w:rsidR="004A265C" w:rsidRPr="004A265C" w:rsidRDefault="004A265C" w:rsidP="004A265C">
      <w:pPr>
        <w:pStyle w:val="Odstavecseseznamem"/>
        <w:numPr>
          <w:ilvl w:val="2"/>
          <w:numId w:val="58"/>
        </w:numPr>
        <w:spacing w:before="0" w:after="0" w:line="240" w:lineRule="auto"/>
        <w:contextualSpacing w:val="0"/>
        <w:jc w:val="left"/>
        <w:rPr>
          <w:color w:val="000000" w:themeColor="text1"/>
        </w:rPr>
      </w:pPr>
      <w:r w:rsidRPr="004A265C">
        <w:rPr>
          <w:color w:val="000000" w:themeColor="text1"/>
        </w:rPr>
        <w:t>alespoň jeden člen řešitelského týmu musí mít minimálně tříletou praxi v oboru auditor bezpečnosti pozemních komunikací a pětiletou praxi v oblasti dopravního plánování;</w:t>
      </w:r>
    </w:p>
    <w:p w14:paraId="61A363D9" w14:textId="77777777" w:rsidR="004A265C" w:rsidRPr="004A265C" w:rsidRDefault="004A265C" w:rsidP="004A265C">
      <w:pPr>
        <w:pStyle w:val="Odstavecseseznamem"/>
        <w:numPr>
          <w:ilvl w:val="2"/>
          <w:numId w:val="58"/>
        </w:numPr>
        <w:spacing w:before="0" w:after="0" w:line="240" w:lineRule="auto"/>
        <w:contextualSpacing w:val="0"/>
        <w:jc w:val="left"/>
        <w:rPr>
          <w:color w:val="000000" w:themeColor="text1"/>
        </w:rPr>
      </w:pPr>
      <w:r w:rsidRPr="004A265C">
        <w:rPr>
          <w:color w:val="000000" w:themeColor="text1"/>
        </w:rPr>
        <w:t xml:space="preserve">alespoň jeden člen řešitelského týmu musí mít v posledních třech letech aktivní zkušenost s realizací nebo implementací některého moderního systému regionální mobility na úrovni regionu/obce/města s minimálně 7 tis. obyvateli (car </w:t>
      </w:r>
      <w:proofErr w:type="spellStart"/>
      <w:r w:rsidRPr="004A265C">
        <w:rPr>
          <w:color w:val="000000" w:themeColor="text1"/>
        </w:rPr>
        <w:t>sharing</w:t>
      </w:r>
      <w:proofErr w:type="spellEnd"/>
      <w:r w:rsidRPr="004A265C">
        <w:rPr>
          <w:color w:val="000000" w:themeColor="text1"/>
        </w:rPr>
        <w:t xml:space="preserve">, bike </w:t>
      </w:r>
      <w:proofErr w:type="spellStart"/>
      <w:r w:rsidRPr="004A265C">
        <w:rPr>
          <w:color w:val="000000" w:themeColor="text1"/>
        </w:rPr>
        <w:t>sharing</w:t>
      </w:r>
      <w:proofErr w:type="spellEnd"/>
      <w:r w:rsidRPr="004A265C">
        <w:rPr>
          <w:color w:val="000000" w:themeColor="text1"/>
        </w:rPr>
        <w:t xml:space="preserve">, </w:t>
      </w:r>
      <w:proofErr w:type="spellStart"/>
      <w:r w:rsidRPr="004A265C">
        <w:rPr>
          <w:color w:val="000000" w:themeColor="text1"/>
        </w:rPr>
        <w:t>ride</w:t>
      </w:r>
      <w:proofErr w:type="spellEnd"/>
      <w:r w:rsidRPr="004A265C">
        <w:rPr>
          <w:color w:val="000000" w:themeColor="text1"/>
        </w:rPr>
        <w:t xml:space="preserve"> </w:t>
      </w:r>
      <w:proofErr w:type="spellStart"/>
      <w:r w:rsidRPr="004A265C">
        <w:rPr>
          <w:color w:val="000000" w:themeColor="text1"/>
        </w:rPr>
        <w:t>sharing</w:t>
      </w:r>
      <w:proofErr w:type="spellEnd"/>
      <w:r w:rsidRPr="004A265C">
        <w:rPr>
          <w:color w:val="000000" w:themeColor="text1"/>
        </w:rPr>
        <w:t xml:space="preserve">, </w:t>
      </w:r>
      <w:proofErr w:type="spellStart"/>
      <w:r w:rsidRPr="004A265C">
        <w:rPr>
          <w:color w:val="000000" w:themeColor="text1"/>
        </w:rPr>
        <w:t>ride</w:t>
      </w:r>
      <w:proofErr w:type="spellEnd"/>
      <w:r w:rsidRPr="004A265C">
        <w:rPr>
          <w:color w:val="000000" w:themeColor="text1"/>
        </w:rPr>
        <w:t xml:space="preserve"> </w:t>
      </w:r>
      <w:proofErr w:type="spellStart"/>
      <w:r w:rsidRPr="004A265C">
        <w:rPr>
          <w:color w:val="000000" w:themeColor="text1"/>
        </w:rPr>
        <w:t>sourcing</w:t>
      </w:r>
      <w:proofErr w:type="spellEnd"/>
      <w:r w:rsidRPr="004A265C">
        <w:rPr>
          <w:color w:val="000000" w:themeColor="text1"/>
        </w:rPr>
        <w:t xml:space="preserve"> apod.).</w:t>
      </w:r>
    </w:p>
    <w:p w14:paraId="06631672" w14:textId="2A2F21E6" w:rsidR="00934751" w:rsidRDefault="009A5154" w:rsidP="00C97368">
      <w:pPr>
        <w:ind w:left="426" w:right="851"/>
      </w:pPr>
      <w:r>
        <w:t>Dodavatel</w:t>
      </w:r>
      <w:r w:rsidR="00934751">
        <w:t xml:space="preserve"> prokáže splnění tohoto kvalifikačního předpokladu předložením:</w:t>
      </w:r>
    </w:p>
    <w:p w14:paraId="0ABB0882" w14:textId="6A2C6208" w:rsidR="009E5D9A" w:rsidRDefault="00934751" w:rsidP="00205A51">
      <w:pPr>
        <w:spacing w:before="0" w:after="0"/>
        <w:ind w:left="426" w:right="851"/>
      </w:pPr>
      <w:r>
        <w:lastRenderedPageBreak/>
        <w:t>-jmenného seznamu řešitelského týmu včetně uvedení jejich pozice v týmu (originál)</w:t>
      </w:r>
    </w:p>
    <w:p w14:paraId="6CABF253" w14:textId="0C0BC99C" w:rsidR="00B22997" w:rsidRDefault="00934751" w:rsidP="00205A51">
      <w:pPr>
        <w:spacing w:before="0" w:after="0"/>
        <w:ind w:left="426" w:right="851"/>
      </w:pPr>
      <w:r>
        <w:t xml:space="preserve">-profesních životopisů všech členů řešitelského týmu s uvedením </w:t>
      </w:r>
      <w:r w:rsidR="00DE11F3">
        <w:t xml:space="preserve">praxe </w:t>
      </w:r>
      <w:r>
        <w:t>(prostá kopie)</w:t>
      </w:r>
    </w:p>
    <w:p w14:paraId="4442114F" w14:textId="3B421F98" w:rsidR="009E5D9A" w:rsidRDefault="00934751" w:rsidP="00205A51">
      <w:pPr>
        <w:spacing w:before="0" w:after="0"/>
        <w:ind w:left="426" w:right="851"/>
      </w:pPr>
      <w:r>
        <w:t>-dokladů prokazujících příslušné vzdělání</w:t>
      </w:r>
      <w:r w:rsidR="00FB4218">
        <w:t xml:space="preserve">, autorizaci či oprávnění </w:t>
      </w:r>
      <w:r>
        <w:t>členů týmu (prostá kopie)</w:t>
      </w:r>
      <w:r w:rsidR="00DE11F3">
        <w:t>.</w:t>
      </w:r>
    </w:p>
    <w:p w14:paraId="449FCE1F" w14:textId="41B34BA9" w:rsidR="00C86DFE" w:rsidRDefault="00934751" w:rsidP="00C86DFE">
      <w:pPr>
        <w:ind w:left="426" w:right="851"/>
      </w:pPr>
      <w:r>
        <w:t xml:space="preserve">Zadavatel požaduje, aby se osoby, které účastník uvede do seznamu řešitelského týmu, skutečně podíleli na realizaci předmětu veřejné zakázky v rozsahu své odbornosti. Nahrazení těchto osob lze pouze s přechozím souhlasem zadavatele, přičemž nový člen řešitelského týmu musí splňovat stejnou odbornou způsobilost jako člen původní. </w:t>
      </w:r>
    </w:p>
    <w:p w14:paraId="13DD21C1" w14:textId="5350D4AE" w:rsidR="00934751" w:rsidRDefault="00934751" w:rsidP="0039503F">
      <w:pPr>
        <w:ind w:left="426" w:right="851"/>
      </w:pPr>
      <w:r>
        <w:t xml:space="preserve">Řešitelský tým pro prokázání kvalifikace bude uveden v </w:t>
      </w:r>
      <w:r w:rsidR="009152C0">
        <w:rPr>
          <w:b/>
        </w:rPr>
        <w:t>P</w:t>
      </w:r>
      <w:r w:rsidRPr="00934751">
        <w:rPr>
          <w:b/>
        </w:rPr>
        <w:t>říloze 4</w:t>
      </w:r>
      <w:r>
        <w:t xml:space="preserve"> této ZD</w:t>
      </w:r>
      <w:r w:rsidR="00DE11F3">
        <w:t>.</w:t>
      </w:r>
    </w:p>
    <w:p w14:paraId="533C15F1" w14:textId="48D669AA" w:rsidR="008F5C8D" w:rsidRDefault="00392E74" w:rsidP="00205A51">
      <w:pPr>
        <w:ind w:left="426" w:right="851"/>
      </w:pPr>
      <w:bookmarkStart w:id="8" w:name="_GoBack"/>
      <w:bookmarkEnd w:id="8"/>
      <w:r>
        <w:t>Sezna</w:t>
      </w:r>
      <w:r w:rsidR="00EF62DD">
        <w:t xml:space="preserve">m významných </w:t>
      </w:r>
      <w:r w:rsidR="00C54D65">
        <w:t>zakázek</w:t>
      </w:r>
      <w:r w:rsidR="00EF62DD">
        <w:t xml:space="preserve">, ze kterého bude </w:t>
      </w:r>
      <w:r>
        <w:t>jednoznačně vyplývat splnění všech výše uvedených požadavků na minimální úroveň</w:t>
      </w:r>
      <w:r w:rsidR="00D40E6E">
        <w:t xml:space="preserve"> kritéria</w:t>
      </w:r>
      <w:r>
        <w:t xml:space="preserve">. Seznam bude </w:t>
      </w:r>
      <w:r w:rsidR="002219D9">
        <w:t xml:space="preserve">zpracovaný dle vzoru, který zadavatel </w:t>
      </w:r>
      <w:r w:rsidRPr="00372F3F">
        <w:t xml:space="preserve">poskytuje </w:t>
      </w:r>
      <w:r w:rsidRPr="00CE37B7">
        <w:t>v </w:t>
      </w:r>
      <w:r w:rsidRPr="00CE37B7">
        <w:rPr>
          <w:b/>
        </w:rPr>
        <w:t xml:space="preserve">Příloze č. </w:t>
      </w:r>
      <w:r w:rsidR="00934751">
        <w:rPr>
          <w:b/>
        </w:rPr>
        <w:t>5</w:t>
      </w:r>
      <w:r w:rsidRPr="00CE37B7">
        <w:t xml:space="preserve"> této </w:t>
      </w:r>
      <w:r w:rsidR="00934751">
        <w:t>ZD</w:t>
      </w:r>
      <w:r>
        <w:t>.</w:t>
      </w:r>
    </w:p>
    <w:p w14:paraId="42E7ABA9" w14:textId="77777777" w:rsidR="007B5F49" w:rsidRDefault="007B5F49" w:rsidP="000610C2">
      <w:pPr>
        <w:pStyle w:val="Nadpis2"/>
        <w:ind w:left="709" w:hanging="709"/>
      </w:pPr>
      <w:bookmarkStart w:id="9" w:name="_Toc495314354"/>
      <w:r>
        <w:t>Obchodní a platební podmínky</w:t>
      </w:r>
      <w:bookmarkEnd w:id="9"/>
    </w:p>
    <w:p w14:paraId="4CB13814" w14:textId="10FF0DDE" w:rsidR="007B5F49" w:rsidRDefault="007B5F49" w:rsidP="009E5D9A">
      <w:pPr>
        <w:ind w:right="851"/>
      </w:pPr>
      <w:r>
        <w:t xml:space="preserve">Veškeré obchodní a platební podmínky plnění veřejné zakázky jsou vymezeny v závazném textu návrhu smlouvy obsaženém v </w:t>
      </w:r>
      <w:r w:rsidRPr="00AD16B9">
        <w:rPr>
          <w:b/>
        </w:rPr>
        <w:t xml:space="preserve">Příloze č. </w:t>
      </w:r>
      <w:r w:rsidR="00C27B6E">
        <w:rPr>
          <w:b/>
        </w:rPr>
        <w:t>3</w:t>
      </w:r>
      <w:r w:rsidRPr="00AD16B9">
        <w:t xml:space="preserve"> této</w:t>
      </w:r>
      <w:r>
        <w:t xml:space="preserve"> </w:t>
      </w:r>
      <w:r w:rsidR="00C27B6E">
        <w:t>ZD</w:t>
      </w:r>
      <w:r>
        <w:t>. Dodavatel ve své nabídce předloží návrh smlouvy podepsaný osobou oprávněnou jej zastupovat. Pokud za dodavatele jedná jiná osoba odlišná od osoby k tomu oprávněné dle údajů uvedených v obchodním rejstříku či jiném veřejném rejstříku, musí být součástí nabídky plná moc opravňující tuto osobu k jednání za dodavatele</w:t>
      </w:r>
      <w:r w:rsidR="00D91557">
        <w:t>.</w:t>
      </w:r>
      <w:r>
        <w:t xml:space="preserve"> </w:t>
      </w:r>
    </w:p>
    <w:p w14:paraId="45C12E42" w14:textId="7B550EFD" w:rsidR="007B5F49" w:rsidRDefault="007B5F49" w:rsidP="009E5D9A">
      <w:pPr>
        <w:ind w:right="851"/>
      </w:pPr>
      <w:r>
        <w:t>Návrh smlouvy předložený dodavatelem v nabídce musí odpovídat závaznému textu návrhu smlouvy obsaženému v zadávací dokumentaci a ostatní části nabídky musí být s tímto návrhem smlouvy</w:t>
      </w:r>
      <w:r w:rsidRPr="006A24C2">
        <w:t xml:space="preserve"> </w:t>
      </w:r>
      <w:r>
        <w:t>v souladu. Dodavatel není oprávněn měnit a doplňovat závazný text návrhu smlouvy na jiný</w:t>
      </w:r>
      <w:r w:rsidR="00F12262">
        <w:t>ch, než k tomu určených místech</w:t>
      </w:r>
      <w:r w:rsidR="00205A51">
        <w:t xml:space="preserve"> </w:t>
      </w:r>
      <w:r>
        <w:t>(zejména identifikační údaje dodavatele, údaje o nabídkové ceně, případně další výslovně požadované údaje). Smlouva na plnění veřejné zakázky bude uzavřena v souladu s nabídkou vybraného dodavatele.</w:t>
      </w:r>
    </w:p>
    <w:p w14:paraId="1F186F66" w14:textId="77777777" w:rsidR="00A76821" w:rsidRDefault="00A76821" w:rsidP="000610C2">
      <w:pPr>
        <w:pStyle w:val="Nadpis2"/>
        <w:ind w:left="709" w:hanging="709"/>
      </w:pPr>
      <w:bookmarkStart w:id="10" w:name="_Toc495314355"/>
      <w:r>
        <w:t>PROHLÍDKA MÍSTA PLNĚNÍ</w:t>
      </w:r>
      <w:bookmarkEnd w:id="10"/>
    </w:p>
    <w:p w14:paraId="25DD782E" w14:textId="74365D21" w:rsidR="008D23F3" w:rsidRDefault="008D23F3" w:rsidP="009E5D9A">
      <w:pPr>
        <w:keepLines/>
        <w:ind w:right="851"/>
      </w:pPr>
      <w:r w:rsidRPr="00E75EEA">
        <w:t>Prohlídka místa plnění se s ohledem na předmět plnění veřejné zakázky neuskuteční.</w:t>
      </w:r>
    </w:p>
    <w:p w14:paraId="0ACF4AB9" w14:textId="77777777" w:rsidR="007B5F49" w:rsidRDefault="007B5F49" w:rsidP="000610C2">
      <w:pPr>
        <w:pStyle w:val="Nadpis2"/>
        <w:ind w:left="709" w:hanging="709"/>
      </w:pPr>
      <w:bookmarkStart w:id="11" w:name="_Toc495314356"/>
      <w:r w:rsidRPr="00997636">
        <w:t>Požadavky na zpracování nabídkové ceny</w:t>
      </w:r>
      <w:bookmarkEnd w:id="11"/>
    </w:p>
    <w:p w14:paraId="3E392F4D" w14:textId="728655FD" w:rsidR="00AD1CEE" w:rsidRDefault="0048125E" w:rsidP="009E5D9A">
      <w:pPr>
        <w:ind w:right="851"/>
      </w:pPr>
      <w:r>
        <w:lastRenderedPageBreak/>
        <w:t>Dodavatel</w:t>
      </w:r>
      <w:r w:rsidR="00AD1CEE">
        <w:t xml:space="preserve"> stanoví nabídkovou cenu jako celkovou cenu za celé plnění </w:t>
      </w:r>
      <w:r w:rsidR="00BF3F51">
        <w:t>3</w:t>
      </w:r>
      <w:r w:rsidR="00AD1CEE">
        <w:t xml:space="preserve">. části zakázky, včetně všech souvisejících činností a nákladů nezbytných k plnění zakázky. Tato cena bude stanovena jako nejvýše přípustná. Její překročení bude mít za následek vyloučení </w:t>
      </w:r>
      <w:r>
        <w:t>dodavatele</w:t>
      </w:r>
      <w:r w:rsidR="00AD1CEE">
        <w:t xml:space="preserve"> z výběrového řízení.</w:t>
      </w:r>
    </w:p>
    <w:p w14:paraId="32D87F34" w14:textId="52203DE3" w:rsidR="00AD1CEE" w:rsidRDefault="00AD1CEE" w:rsidP="009E5D9A">
      <w:pPr>
        <w:ind w:right="851"/>
      </w:pPr>
      <w:r>
        <w:t xml:space="preserve">Nabídková cena bude stanovena jako cena nejvýše přípustná, pevná, závazná pro uzavření smlouvy </w:t>
      </w:r>
      <w:r w:rsidR="00257EF5">
        <w:br/>
      </w:r>
      <w:r>
        <w:t>a platná po celou dobu realizace.</w:t>
      </w:r>
    </w:p>
    <w:p w14:paraId="3F754D7C" w14:textId="77777777" w:rsidR="00AD1CEE" w:rsidRDefault="00AD1CEE" w:rsidP="009E5D9A">
      <w:pPr>
        <w:ind w:right="851"/>
      </w:pPr>
      <w:r>
        <w:t xml:space="preserve">Nabídková cena bude uvedena v Kč bez DPH (viz </w:t>
      </w:r>
      <w:r w:rsidRPr="00AD1CEE">
        <w:rPr>
          <w:b/>
        </w:rPr>
        <w:t>Příloha č. 1 - Krycí list nabídky</w:t>
      </w:r>
      <w:r>
        <w:t>).</w:t>
      </w:r>
    </w:p>
    <w:p w14:paraId="3C583CED" w14:textId="0787A2C6" w:rsidR="008D23F3" w:rsidRDefault="0048125E" w:rsidP="009E5D9A">
      <w:pPr>
        <w:ind w:right="851"/>
      </w:pPr>
      <w:r>
        <w:t>Nabídkovou cenu je</w:t>
      </w:r>
      <w:r w:rsidR="00764352">
        <w:t xml:space="preserve"> </w:t>
      </w:r>
      <w:r>
        <w:t>dodavatel povinen</w:t>
      </w:r>
      <w:r w:rsidR="00764352">
        <w:t xml:space="preserve"> stanovit jako celkovou nabídkovou cenu za celý předmět plnění veřejné zakázky, a to v členění cena v Kč bez DPH, sazba DPH v %, výše DPH v Kč a cena v Kč s DPH. Za správnost určení sazby DPH nese </w:t>
      </w:r>
      <w:r w:rsidR="00E0104C">
        <w:t>odpovědnost účastník zadávacího řízení</w:t>
      </w:r>
      <w:r w:rsidR="00764352">
        <w:t>.</w:t>
      </w:r>
    </w:p>
    <w:p w14:paraId="44826F20" w14:textId="77777777" w:rsidR="00DD63DD" w:rsidRDefault="00DD63DD" w:rsidP="000610C2">
      <w:pPr>
        <w:pStyle w:val="Nadpis2"/>
        <w:ind w:left="709" w:hanging="709"/>
      </w:pPr>
      <w:bookmarkStart w:id="12" w:name="_Toc495314357"/>
      <w:r>
        <w:t>další požadavky zadavatele</w:t>
      </w:r>
      <w:bookmarkEnd w:id="12"/>
    </w:p>
    <w:p w14:paraId="5AEDF4DE" w14:textId="77777777" w:rsidR="00DD63DD" w:rsidRDefault="00DD63DD" w:rsidP="009E5D9A">
      <w:pPr>
        <w:pStyle w:val="Nadpis3"/>
        <w:ind w:right="851"/>
      </w:pPr>
      <w:r>
        <w:t>Seznam poddodavatelů</w:t>
      </w:r>
    </w:p>
    <w:p w14:paraId="551F9E3F" w14:textId="2D00C596" w:rsidR="00764352" w:rsidRDefault="00DD63DD" w:rsidP="009E5D9A">
      <w:pPr>
        <w:ind w:right="851"/>
      </w:pPr>
      <w:r>
        <w:t>Účastník zadávacího řízení v nabídce předloží seznam poddodavatelů s</w:t>
      </w:r>
      <w:r w:rsidR="001E3FB6">
        <w:t> </w:t>
      </w:r>
      <w:r>
        <w:t>uvedení</w:t>
      </w:r>
      <w:r w:rsidR="006077BF">
        <w:t>m</w:t>
      </w:r>
      <w:r w:rsidR="001E3FB6">
        <w:t xml:space="preserve"> jejich identifikačních údajů a specifikací</w:t>
      </w:r>
      <w:r>
        <w:t>, kterou část veřejné zakázky b</w:t>
      </w:r>
      <w:r w:rsidR="006077BF">
        <w:t>ude každý z poddodavatelů plnit</w:t>
      </w:r>
      <w:r>
        <w:t xml:space="preserve">. </w:t>
      </w:r>
    </w:p>
    <w:p w14:paraId="71B1A28E" w14:textId="77777777" w:rsidR="00DD63DD" w:rsidRDefault="00DD63DD" w:rsidP="009E5D9A">
      <w:pPr>
        <w:pStyle w:val="Nadpis3"/>
        <w:ind w:right="851"/>
      </w:pPr>
      <w:r>
        <w:t>Společná účast dodavatelů</w:t>
      </w:r>
    </w:p>
    <w:p w14:paraId="46B60444" w14:textId="39D640B6" w:rsidR="006A2B58" w:rsidRDefault="00DD63DD" w:rsidP="009E5D9A">
      <w:pPr>
        <w:ind w:right="851"/>
      </w:pPr>
      <w:r>
        <w:t xml:space="preserve">V případě společné účasti dodavatelů v zadávacím řízení bude v nabídce předložena smlouva uzavřená dodavateli, </w:t>
      </w:r>
      <w:r w:rsidR="00613630">
        <w:t>z</w:t>
      </w:r>
      <w:r w:rsidR="00C27B6E">
        <w:t xml:space="preserve"> níž bude </w:t>
      </w:r>
      <w:r>
        <w:t>vyplývat, že všichni dodavatelé podávající společnou nabídku nesou odpovědnost za plnění veřejné zakázky společně a nerozdílně.</w:t>
      </w:r>
      <w:r w:rsidR="006A2B58">
        <w:t xml:space="preserve"> Pokud podává nabídku více dodavatelů společně, uvedou v krycím listu nabídky osobu, která bude zmocněna zastupovat tyto dodavatele při styku se zadavatelem v průběhu zadávacího řízení. </w:t>
      </w:r>
    </w:p>
    <w:p w14:paraId="4FCE8715" w14:textId="77777777" w:rsidR="00B1795D" w:rsidRDefault="00B1795D" w:rsidP="000610C2">
      <w:pPr>
        <w:pStyle w:val="Nadpis2"/>
        <w:tabs>
          <w:tab w:val="clear" w:pos="1320"/>
          <w:tab w:val="left" w:pos="709"/>
        </w:tabs>
      </w:pPr>
      <w:bookmarkStart w:id="13" w:name="_Toc495314358"/>
      <w:r>
        <w:t xml:space="preserve">obsah </w:t>
      </w:r>
      <w:r w:rsidRPr="00F64335">
        <w:t>Nabídk</w:t>
      </w:r>
      <w:r>
        <w:t>y</w:t>
      </w:r>
      <w:bookmarkEnd w:id="13"/>
    </w:p>
    <w:p w14:paraId="41211D6D" w14:textId="6B68DD3C" w:rsidR="00B1795D" w:rsidRDefault="00B1795D" w:rsidP="009E5D9A">
      <w:pPr>
        <w:ind w:right="851"/>
      </w:pPr>
      <w:r w:rsidRPr="00CE011D">
        <w:t xml:space="preserve">Nabídka </w:t>
      </w:r>
      <w:r w:rsidR="00613630">
        <w:t>účastníka</w:t>
      </w:r>
      <w:r w:rsidR="00613630" w:rsidRPr="00CE011D">
        <w:t xml:space="preserve"> </w:t>
      </w:r>
      <w:r w:rsidR="00932FA2">
        <w:t xml:space="preserve">zadávacího řízení </w:t>
      </w:r>
      <w:r w:rsidRPr="00CE011D">
        <w:t xml:space="preserve">musí být zpracována v souladu s požadavky stanovenými touto zadávací dokumentací a </w:t>
      </w:r>
      <w:r>
        <w:t>Z</w:t>
      </w:r>
      <w:r w:rsidRPr="00CE011D">
        <w:t xml:space="preserve">ZVZ. </w:t>
      </w:r>
      <w:r>
        <w:t>Účastník zadávacího řízení</w:t>
      </w:r>
      <w:r w:rsidRPr="00CE011D">
        <w:t xml:space="preserve"> musí při zpracování nabídky respektovat požadavky a podmínky stanovené zadavatelem v zadávací dokumentace veřejné zakázky, zejména pak závazný text návrhu smlouvy dle </w:t>
      </w:r>
      <w:r w:rsidRPr="001A5656">
        <w:rPr>
          <w:b/>
        </w:rPr>
        <w:t xml:space="preserve">Přílohy č. </w:t>
      </w:r>
      <w:r w:rsidR="00AD1CEE">
        <w:rPr>
          <w:b/>
        </w:rPr>
        <w:t>3</w:t>
      </w:r>
      <w:r w:rsidRPr="00CE011D">
        <w:t xml:space="preserve"> této </w:t>
      </w:r>
      <w:r w:rsidR="00AD1CEE">
        <w:t>ZD</w:t>
      </w:r>
      <w:r w:rsidRPr="00CE011D">
        <w:t xml:space="preserve">, jakož i jakékoliv další požadavky dle </w:t>
      </w:r>
      <w:r>
        <w:t>Z</w:t>
      </w:r>
      <w:r w:rsidRPr="00CE011D">
        <w:t>ZVZ, a takto úplná nabídka musí být řádně doručena zadavateli ve stanovené lhůtě pro podání nabídek.</w:t>
      </w:r>
    </w:p>
    <w:p w14:paraId="2E72AE8C" w14:textId="77777777" w:rsidR="00B1795D" w:rsidRDefault="00B1795D" w:rsidP="009E5D9A">
      <w:pPr>
        <w:pStyle w:val="Nadpis3"/>
        <w:ind w:right="851"/>
      </w:pPr>
      <w:r>
        <w:t>Obsah nabídky</w:t>
      </w:r>
    </w:p>
    <w:p w14:paraId="009F036F" w14:textId="77777777" w:rsidR="00B1795D" w:rsidRPr="00414945" w:rsidRDefault="00B1795D" w:rsidP="009E5D9A">
      <w:pPr>
        <w:ind w:right="851"/>
      </w:pPr>
      <w:r w:rsidRPr="00414945">
        <w:t xml:space="preserve">Nabídka </w:t>
      </w:r>
      <w:r>
        <w:t>účastníka zadávacího řízení</w:t>
      </w:r>
      <w:r w:rsidRPr="00414945">
        <w:t xml:space="preserve"> bude obsahovat následující součásti:</w:t>
      </w:r>
    </w:p>
    <w:p w14:paraId="20ED0352" w14:textId="32E902AF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lastRenderedPageBreak/>
        <w:t>Krycí list nabídky</w:t>
      </w:r>
      <w:r w:rsidR="00CE7B1F">
        <w:rPr>
          <w:b/>
        </w:rPr>
        <w:t xml:space="preserve"> a nabídková cena</w:t>
      </w:r>
    </w:p>
    <w:p w14:paraId="3FA527E5" w14:textId="2FF4E6C3" w:rsidR="00AD1CEE" w:rsidRDefault="00AD1CEE" w:rsidP="009E5D9A">
      <w:pPr>
        <w:pStyle w:val="Odstavecseseznamem"/>
        <w:spacing w:before="0" w:after="0"/>
        <w:ind w:right="851"/>
      </w:pPr>
      <w:r>
        <w:t xml:space="preserve">Pro zpracování Krycího listu nabídky </w:t>
      </w:r>
      <w:r w:rsidR="0048125E">
        <w:t>dodavatel</w:t>
      </w:r>
      <w:r>
        <w:t xml:space="preserve"> závazně použije příslušný vzor Krycího listu nabídky (tvoří Přílohu č. 1 této ZD) a požadované údaje do něj doplní. Takto vyplněný Krycí list nabídky podepíše a vloží jako první list do nabídky. Celková nabídková cena uvedená v Krycím listu bude obsahovat veškeré náklady na splnění zakázky za celou dobu plnění veřejné zakázky. Celková nabídková cena bude stanovena jako cena „nejvýše přípustná”</w:t>
      </w:r>
      <w:r w:rsidR="00CE7B1F">
        <w:t>,</w:t>
      </w:r>
      <w:r w:rsidR="00CE7B1F" w:rsidRPr="00CE7B1F">
        <w:t xml:space="preserve"> včetně dopravy a veškerých vedlejších nákladů v tomto členění: celková cena bez DPH. </w:t>
      </w:r>
      <w:r w:rsidR="0048125E">
        <w:t>Dodavatel</w:t>
      </w:r>
      <w:r w:rsidR="00CE7B1F" w:rsidRPr="00CE7B1F">
        <w:t xml:space="preserve"> odpovídá za kompletnost poskytovaných činností a je povinen i veškeré činnosti, které nejsou výslovně uvedeny a souvisí s předmětem plnění, zahrnout do ceny. Nabídková cena musí být platná až do celkového dokončení díla. Ke změně této ceny může dojít pouze v souvislosti se změnou sazby DPH, a to pouze o tuto legislativní změnu.</w:t>
      </w:r>
    </w:p>
    <w:p w14:paraId="3DF8647E" w14:textId="25C3D5D3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Doklady o splnění kvalifikace</w:t>
      </w:r>
    </w:p>
    <w:p w14:paraId="7D34099D" w14:textId="14973098" w:rsidR="00AD1CEE" w:rsidRDefault="00AD1CEE" w:rsidP="009E5D9A">
      <w:pPr>
        <w:pStyle w:val="Odstavecseseznamem"/>
        <w:spacing w:before="0" w:after="0"/>
        <w:ind w:right="851"/>
      </w:pPr>
      <w:r>
        <w:t xml:space="preserve">Na prokázání základních kvalifikačních předpokladů, použije </w:t>
      </w:r>
      <w:r w:rsidR="0048125E">
        <w:t>dodavatel</w:t>
      </w:r>
      <w:r>
        <w:t xml:space="preserve"> vzor čestného prohlášení (tvoří Přílohu č. 2 této ZD), u technických kvalifikačních předpokladů může využít </w:t>
      </w:r>
      <w:r w:rsidR="0048125E">
        <w:t>dodavatel</w:t>
      </w:r>
      <w:r>
        <w:t xml:space="preserve"> </w:t>
      </w:r>
      <w:r w:rsidR="00CE7B1F" w:rsidRPr="00CE7B1F">
        <w:t>vzor Složení řešitelského týmu</w:t>
      </w:r>
      <w:r w:rsidR="00CE7B1F">
        <w:t xml:space="preserve"> (tvoří Přílohu č. 5 této ZD) a</w:t>
      </w:r>
      <w:r w:rsidR="00CE7B1F" w:rsidRPr="00CE7B1F">
        <w:t xml:space="preserve"> </w:t>
      </w:r>
      <w:r>
        <w:t xml:space="preserve">vzor Seznamu významných služeb (tvoří Přílohu č. 5 této ZD), u profesních kvalifikačních předpokladů a ostatní požadovaných dokladů postupuje </w:t>
      </w:r>
      <w:r w:rsidR="0048125E">
        <w:t>dodavatel</w:t>
      </w:r>
      <w:r>
        <w:t xml:space="preserve"> v souladu s požadavky ZD.</w:t>
      </w:r>
    </w:p>
    <w:p w14:paraId="26F7E130" w14:textId="4F817173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Návrh smlouvy</w:t>
      </w:r>
    </w:p>
    <w:p w14:paraId="0E86BF23" w14:textId="4140A9AF" w:rsidR="00AD1CEE" w:rsidRDefault="0048125E" w:rsidP="009E5D9A">
      <w:pPr>
        <w:pStyle w:val="Odstavecseseznamem"/>
        <w:spacing w:before="0" w:after="0"/>
        <w:ind w:right="851"/>
      </w:pPr>
      <w:r>
        <w:t>Dodavatel</w:t>
      </w:r>
      <w:r w:rsidR="00AD1CEE">
        <w:t xml:space="preserve"> do nabídky vloží podepsaný návrh Smlouvy (tvoří </w:t>
      </w:r>
      <w:r w:rsidR="00AD1CEE" w:rsidRPr="00B24D05">
        <w:t>Přílohu č. 3</w:t>
      </w:r>
      <w:r w:rsidR="00AD1CEE">
        <w:t xml:space="preserve"> této ZD). Tento návrh smlouvy podepíše osoba oprávněná jednat jménem či za </w:t>
      </w:r>
      <w:r>
        <w:t>dodavatele</w:t>
      </w:r>
      <w:r w:rsidR="00AD1CEE">
        <w:t>. Oprávněnost podpisu bude posuzována z výpisu z obchodního rejstříku nebo z dalších dokumentů např. plná moc</w:t>
      </w:r>
      <w:r w:rsidR="005B1789">
        <w:t>.</w:t>
      </w:r>
    </w:p>
    <w:p w14:paraId="625F6D3E" w14:textId="68BA6694" w:rsidR="00AD1CEE" w:rsidRPr="00AD1CEE" w:rsidRDefault="00AD1CEE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rPr>
          <w:b/>
        </w:rPr>
      </w:pPr>
      <w:r w:rsidRPr="00AD1CEE">
        <w:rPr>
          <w:b/>
        </w:rPr>
        <w:t>Kompletní a detailní specifikace nabízených služeb</w:t>
      </w:r>
    </w:p>
    <w:p w14:paraId="01EEC0F7" w14:textId="5C7DC96D" w:rsidR="00AD1CEE" w:rsidRDefault="0048125E" w:rsidP="009E5D9A">
      <w:pPr>
        <w:pStyle w:val="Odstavecseseznamem"/>
        <w:spacing w:before="0" w:after="0"/>
        <w:ind w:right="851"/>
      </w:pPr>
      <w:r>
        <w:t>Dodavatel</w:t>
      </w:r>
      <w:r w:rsidR="00AD1CEE">
        <w:t xml:space="preserve"> do </w:t>
      </w:r>
      <w:r w:rsidR="00AD1CEE" w:rsidRPr="009152C0">
        <w:t>nabídky vloží jím navrženou kompletní a detailní specifikaci nabízených služeb, na které podává nabídku. Z t</w:t>
      </w:r>
      <w:r w:rsidR="00AD1CEE">
        <w:t xml:space="preserve">éto specifikace musí být zřejmé, že </w:t>
      </w:r>
      <w:r>
        <w:t>dodavatel</w:t>
      </w:r>
      <w:r w:rsidR="00AD1CEE">
        <w:t xml:space="preserve"> nabízí plnění, které je plně v souladu s požadavky zadavatele na předmět plnění této zakázky.</w:t>
      </w:r>
    </w:p>
    <w:p w14:paraId="3F6D6440" w14:textId="14426448" w:rsidR="00AD1CEE" w:rsidRDefault="00AD1CEE" w:rsidP="009E5D9A">
      <w:pPr>
        <w:pStyle w:val="Odstavecseseznamem"/>
        <w:spacing w:before="0" w:after="0"/>
        <w:ind w:right="851"/>
      </w:pPr>
      <w:r>
        <w:t xml:space="preserve">Dokument musí obsahovat takové informace, aby bylo dle tohoto dokumentu možné provést hodnocení nabídek na základě hodnotících kritérií vypsaných v </w:t>
      </w:r>
      <w:r w:rsidR="00BE3F7B">
        <w:t xml:space="preserve">článku 14. -Hodnotící kritéria a způsob hodnocení nabídek této </w:t>
      </w:r>
      <w:r>
        <w:t>ZD.</w:t>
      </w:r>
    </w:p>
    <w:p w14:paraId="66E8F108" w14:textId="2280D23A" w:rsidR="0005710A" w:rsidRDefault="0048125E" w:rsidP="0005710A">
      <w:pPr>
        <w:pStyle w:val="Odstavecseseznamem"/>
        <w:numPr>
          <w:ilvl w:val="1"/>
          <w:numId w:val="39"/>
        </w:numPr>
        <w:ind w:left="709"/>
        <w:rPr>
          <w:b/>
        </w:rPr>
      </w:pPr>
      <w:r>
        <w:rPr>
          <w:b/>
        </w:rPr>
        <w:t>Č</w:t>
      </w:r>
      <w:r w:rsidR="0005710A" w:rsidRPr="0005710A">
        <w:rPr>
          <w:b/>
        </w:rPr>
        <w:t>estné prohlášení dodavatele o nezávislém zpracování nabídky</w:t>
      </w:r>
      <w:r w:rsidR="0005710A">
        <w:rPr>
          <w:b/>
        </w:rPr>
        <w:t>:</w:t>
      </w:r>
    </w:p>
    <w:p w14:paraId="0BC2A25E" w14:textId="511AC146" w:rsidR="0005710A" w:rsidRPr="0005710A" w:rsidRDefault="0048125E" w:rsidP="0005710A">
      <w:pPr>
        <w:pStyle w:val="Odstavecseseznamem"/>
        <w:ind w:left="709" w:right="851"/>
      </w:pPr>
      <w:r>
        <w:t>Dodavatel</w:t>
      </w:r>
      <w:r w:rsidRPr="0048125E">
        <w:t xml:space="preserve"> do nabídky vloží </w:t>
      </w:r>
      <w:r>
        <w:t>č</w:t>
      </w:r>
      <w:r w:rsidRPr="0048125E">
        <w:t xml:space="preserve">estné prohlášení dodavatele o nezávislém zpracování nabídky </w:t>
      </w:r>
      <w:r w:rsidR="0005710A" w:rsidRPr="0005710A">
        <w:t>podepsané osobou oprávněnou jednat</w:t>
      </w:r>
      <w:r w:rsidR="0005710A">
        <w:t xml:space="preserve"> za účastníka</w:t>
      </w:r>
      <w:r>
        <w:t>. Může využít</w:t>
      </w:r>
      <w:r w:rsidR="0005710A">
        <w:t xml:space="preserve"> vzor čestného prohlášení v P</w:t>
      </w:r>
      <w:r w:rsidR="0005710A" w:rsidRPr="0005710A">
        <w:t xml:space="preserve">říloze č. </w:t>
      </w:r>
      <w:r w:rsidR="0005710A">
        <w:t>7</w:t>
      </w:r>
      <w:r w:rsidR="0005710A" w:rsidRPr="0005710A">
        <w:t xml:space="preserve"> </w:t>
      </w:r>
      <w:r w:rsidR="0005710A">
        <w:t>této ZD</w:t>
      </w:r>
      <w:r w:rsidR="005B1789">
        <w:t>.</w:t>
      </w:r>
    </w:p>
    <w:p w14:paraId="3B9859D7" w14:textId="77777777" w:rsidR="00B1795D" w:rsidRPr="00AD1CEE" w:rsidRDefault="00B1795D" w:rsidP="009E5D9A">
      <w:pPr>
        <w:pStyle w:val="Odstavecseseznamem"/>
        <w:numPr>
          <w:ilvl w:val="1"/>
          <w:numId w:val="39"/>
        </w:numPr>
        <w:spacing w:before="0" w:after="0"/>
        <w:ind w:left="709" w:right="851"/>
        <w:contextualSpacing w:val="0"/>
        <w:rPr>
          <w:b/>
        </w:rPr>
      </w:pPr>
      <w:r w:rsidRPr="00AD1CEE">
        <w:rPr>
          <w:b/>
        </w:rPr>
        <w:t>Další doklady a dokumenty požadované zadavatelem</w:t>
      </w:r>
      <w:r w:rsidR="00097F59" w:rsidRPr="00AD1CEE">
        <w:rPr>
          <w:b/>
        </w:rPr>
        <w:t xml:space="preserve"> </w:t>
      </w:r>
    </w:p>
    <w:p w14:paraId="5EBB69CA" w14:textId="7A0A24AC" w:rsidR="00B1795D" w:rsidRDefault="00B1795D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 w:rsidRPr="00414945">
        <w:t xml:space="preserve">Smlouva </w:t>
      </w:r>
      <w:r w:rsidR="00097F59">
        <w:t>v případě společné účasti dodavatelů</w:t>
      </w:r>
      <w:r w:rsidR="005711C6">
        <w:t xml:space="preserve"> (</w:t>
      </w:r>
      <w:r w:rsidR="005711C6" w:rsidRPr="00AD16B9">
        <w:t xml:space="preserve">viz článek </w:t>
      </w:r>
      <w:r w:rsidR="005D5654" w:rsidRPr="00AD16B9">
        <w:t>1</w:t>
      </w:r>
      <w:r w:rsidR="00E71A2B">
        <w:t>1</w:t>
      </w:r>
      <w:r w:rsidR="005D5654" w:rsidRPr="00AD16B9">
        <w:t>.2</w:t>
      </w:r>
      <w:r w:rsidR="005711C6">
        <w:t xml:space="preserve"> </w:t>
      </w:r>
      <w:r w:rsidR="00B036C4">
        <w:t>této ZD</w:t>
      </w:r>
      <w:r w:rsidR="005711C6">
        <w:t>)</w:t>
      </w:r>
      <w:r w:rsidR="006077BF">
        <w:t>;</w:t>
      </w:r>
    </w:p>
    <w:p w14:paraId="56D65EAC" w14:textId="77777777" w:rsidR="006077BF" w:rsidRDefault="006077BF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>
        <w:t>Plná moc, pokud za dodavatele jedná osoba odlišná od osoby oprávněné dle obchodního rejstříku;</w:t>
      </w:r>
    </w:p>
    <w:p w14:paraId="470D3608" w14:textId="2054A9AD" w:rsidR="005E5E04" w:rsidRDefault="005711C6" w:rsidP="009E5D9A">
      <w:pPr>
        <w:pStyle w:val="Odstavecseseznamem"/>
        <w:numPr>
          <w:ilvl w:val="0"/>
          <w:numId w:val="10"/>
        </w:numPr>
        <w:spacing w:before="0" w:after="0"/>
        <w:ind w:left="1134" w:right="851"/>
        <w:contextualSpacing w:val="0"/>
      </w:pPr>
      <w:r>
        <w:t>D</w:t>
      </w:r>
      <w:r w:rsidR="00B1795D" w:rsidRPr="00414945">
        <w:t>oklady a dokumenty požadované zadavatelem</w:t>
      </w:r>
      <w:r w:rsidR="00932FA2">
        <w:t xml:space="preserve"> či ZZVZ</w:t>
      </w:r>
      <w:r w:rsidR="00B1795D" w:rsidRPr="00414945">
        <w:t>, které nelze zahrnout pod žádnou z kategorií uvedených v obsahu nabídky</w:t>
      </w:r>
      <w:r w:rsidR="00613630">
        <w:t>.</w:t>
      </w:r>
    </w:p>
    <w:p w14:paraId="60DEB070" w14:textId="77777777" w:rsidR="005711C6" w:rsidRDefault="005711C6" w:rsidP="009E5D9A">
      <w:pPr>
        <w:pStyle w:val="Nadpis3"/>
        <w:ind w:right="851"/>
      </w:pPr>
      <w:r>
        <w:t>Formální úprava nabídky</w:t>
      </w:r>
    </w:p>
    <w:p w14:paraId="5A23A93B" w14:textId="2CECFE6D" w:rsidR="005711C6" w:rsidRDefault="00BE3F7B" w:rsidP="009E5D9A">
      <w:pPr>
        <w:ind w:right="851"/>
      </w:pPr>
      <w:r w:rsidRPr="00BE3F7B">
        <w:lastRenderedPageBreak/>
        <w:t>Nabídku dodavatel podá v listinné podobě</w:t>
      </w:r>
      <w:r w:rsidR="00131D67">
        <w:t xml:space="preserve"> v jednom vyhotovení</w:t>
      </w:r>
      <w:r w:rsidRPr="00BE3F7B">
        <w:t>, v souladu se zadávacími podmínkami</w:t>
      </w:r>
      <w:r>
        <w:t xml:space="preserve">. </w:t>
      </w:r>
      <w:r w:rsidR="005711C6">
        <w:t xml:space="preserve">Zadavatel doporučuje akceptovat stanovené požadavky na formální úpravu, strukturu a obsah nabídky, které mají zajistit přehlednost nabídek a tím usnadnit jejich posouzení. Pro úplnost zadavatel uvádí, že případné nedodržení formálních požadavků na úpravu a členění nabídky nebude považováno za nesplnění zadávacích podmínek. </w:t>
      </w:r>
    </w:p>
    <w:p w14:paraId="25200F88" w14:textId="021844DA" w:rsidR="005711C6" w:rsidRDefault="005711C6" w:rsidP="009E5D9A">
      <w:pPr>
        <w:ind w:right="851"/>
      </w:pPr>
      <w:r>
        <w:t>Všechny listy nabídky budou očíslovány nepřerušenou vzestu</w:t>
      </w:r>
      <w:r w:rsidR="009A5154">
        <w:t xml:space="preserve">pnou číselnou řadou. Vkládá-li </w:t>
      </w:r>
      <w:r w:rsidR="0048125E">
        <w:t>dodavatel</w:t>
      </w:r>
      <w:r>
        <w:t xml:space="preserve"> do nabídky jako její součást některý samostatný celek (listinu), který má již listy očíslovány vlastní číselnou řadou, </w:t>
      </w:r>
      <w:r w:rsidR="0048125E">
        <w:t>dodavatel</w:t>
      </w:r>
      <w:r>
        <w:t xml:space="preserve"> zřetelně odlišně očísluje i všechny tyto listy znovu, v rámci nepřerušené číselné řady. </w:t>
      </w:r>
    </w:p>
    <w:p w14:paraId="5A0098BD" w14:textId="366E6DDA" w:rsidR="005711C6" w:rsidRDefault="00131D67" w:rsidP="009E5D9A">
      <w:pPr>
        <w:ind w:right="851"/>
      </w:pPr>
      <w:r>
        <w:t xml:space="preserve">Dodavatel </w:t>
      </w:r>
      <w:r w:rsidRPr="00131D67">
        <w:t xml:space="preserve">předloží nabídku i na datovém nosiči CD nebo DVD označeném názvem veřejné zakázky </w:t>
      </w:r>
      <w:r w:rsidR="005B1789">
        <w:br/>
      </w:r>
      <w:r w:rsidRPr="00131D67">
        <w:t xml:space="preserve">a </w:t>
      </w:r>
      <w:r w:rsidR="009A5154">
        <w:t>názvem</w:t>
      </w:r>
      <w:r w:rsidRPr="00131D67">
        <w:t xml:space="preserve"> </w:t>
      </w:r>
      <w:r w:rsidR="009A5154">
        <w:t>dodavatele</w:t>
      </w:r>
      <w:r>
        <w:t xml:space="preserve">. </w:t>
      </w:r>
      <w:r w:rsidR="005711C6">
        <w:t xml:space="preserve">Úplná elektronická verze nabídky bude </w:t>
      </w:r>
      <w:r w:rsidR="000B10F1">
        <w:t>zpracována</w:t>
      </w:r>
      <w:r w:rsidR="005711C6">
        <w:t xml:space="preserve"> ve standardním elektronickém formátu (</w:t>
      </w:r>
      <w:proofErr w:type="spellStart"/>
      <w:r w:rsidR="005711C6">
        <w:t>pdf</w:t>
      </w:r>
      <w:proofErr w:type="spellEnd"/>
      <w:r w:rsidR="005711C6">
        <w:t xml:space="preserve">, MS Office), obsahujícím veškeré podpisy dokumentů osobami oprávněnými zastupovat účastníka zadávacího řízení. Zadavatel doporučuje dále vedle originálu nabídky předložit rovněž její kopii v režimu umožňujícím vyhledávání, a to za účelem usnadnění posouzení nabídek. Součástí kopie nabídky bude doplněný návrh smlouvy v editovatelné podobě ve formátu doc / </w:t>
      </w:r>
      <w:proofErr w:type="spellStart"/>
      <w:r w:rsidR="005711C6">
        <w:t>docx</w:t>
      </w:r>
      <w:proofErr w:type="spellEnd"/>
      <w:r w:rsidR="005711C6">
        <w:t xml:space="preserve"> / </w:t>
      </w:r>
      <w:proofErr w:type="spellStart"/>
      <w:r w:rsidR="005711C6">
        <w:t>rtf</w:t>
      </w:r>
      <w:proofErr w:type="spellEnd"/>
      <w:r w:rsidR="005711C6">
        <w:t>.</w:t>
      </w:r>
    </w:p>
    <w:p w14:paraId="63F07DAC" w14:textId="722DCF4B" w:rsidR="005711C6" w:rsidRDefault="005711C6" w:rsidP="009E5D9A">
      <w:pPr>
        <w:ind w:right="851"/>
      </w:pPr>
      <w:r>
        <w:t>Zadavatel doporučuje nevkládat do nabídky jiné dokumenty, tiskoviny nebo reklamní materiály, vyjma těch dokumentů, které stanoví Z</w:t>
      </w:r>
      <w:r w:rsidR="00A52567">
        <w:t>Z</w:t>
      </w:r>
      <w:r>
        <w:t>VZ, které souvisí s veřejnou zakázkou a které přímo požaduje zadavatel.</w:t>
      </w:r>
    </w:p>
    <w:p w14:paraId="1C1228B9" w14:textId="1DD78AA0" w:rsidR="005711C6" w:rsidRDefault="00E41A64" w:rsidP="000610C2">
      <w:pPr>
        <w:pStyle w:val="Nadpis2"/>
        <w:tabs>
          <w:tab w:val="clear" w:pos="1320"/>
          <w:tab w:val="left" w:pos="709"/>
        </w:tabs>
      </w:pPr>
      <w:bookmarkStart w:id="14" w:name="_Toc495314359"/>
      <w:r>
        <w:t xml:space="preserve">Zadávací lhůta a </w:t>
      </w:r>
      <w:r w:rsidR="005711C6">
        <w:t>Jistota</w:t>
      </w:r>
      <w:bookmarkEnd w:id="14"/>
    </w:p>
    <w:p w14:paraId="7FB0F0A2" w14:textId="77777777" w:rsidR="000B10F1" w:rsidRDefault="000B10F1" w:rsidP="009E5D9A">
      <w:pPr>
        <w:ind w:right="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nestanovuje zadávací lhůtu podle § 40 ZZVZ.</w:t>
      </w:r>
    </w:p>
    <w:p w14:paraId="420C763B" w14:textId="77777777" w:rsidR="000B10F1" w:rsidRDefault="000B10F1" w:rsidP="009E5D9A">
      <w:pPr>
        <w:ind w:right="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nepožaduje poskytnutí jistoty podle § 41 ZZVZ.</w:t>
      </w:r>
    </w:p>
    <w:p w14:paraId="7320872D" w14:textId="77777777" w:rsidR="000B10F1" w:rsidRDefault="000B10F1" w:rsidP="000610C2">
      <w:pPr>
        <w:pStyle w:val="Nadpis2"/>
        <w:tabs>
          <w:tab w:val="clear" w:pos="1320"/>
          <w:tab w:val="left" w:pos="709"/>
        </w:tabs>
      </w:pPr>
      <w:bookmarkStart w:id="15" w:name="_Toc466971773"/>
      <w:bookmarkStart w:id="16" w:name="_Toc495314360"/>
      <w:r>
        <w:t>Hodnotící kritéria a způsob hodnocení nabídek</w:t>
      </w:r>
      <w:bookmarkEnd w:id="15"/>
      <w:bookmarkEnd w:id="16"/>
    </w:p>
    <w:p w14:paraId="41EED012" w14:textId="77777777" w:rsidR="001659F7" w:rsidRDefault="001659F7" w:rsidP="009E5D9A">
      <w:pPr>
        <w:pStyle w:val="Nadpis3"/>
        <w:ind w:right="851"/>
      </w:pPr>
      <w:r>
        <w:t>Kritéria hodnocení</w:t>
      </w:r>
    </w:p>
    <w:p w14:paraId="2AC9E540" w14:textId="77777777" w:rsidR="00677211" w:rsidRDefault="00677211" w:rsidP="00B24D05">
      <w:pPr>
        <w:pStyle w:val="Nadpis3"/>
        <w:numPr>
          <w:ilvl w:val="0"/>
          <w:numId w:val="0"/>
        </w:numPr>
        <w:ind w:left="426" w:right="851"/>
        <w:jc w:val="both"/>
        <w:rPr>
          <w:b w:val="0"/>
        </w:rPr>
      </w:pPr>
      <w:r w:rsidRPr="00677211">
        <w:rPr>
          <w:b w:val="0"/>
        </w:rPr>
        <w:t>Základním hodnotícím kritériem pro zadání veřejné zakázky malého rozsahu je ekonomická výhodnost nabídky. Pro stanovení ekonomické výhodnosti bude zadavatel posuzovat předložené nabídky dle následujících hodnotících kritérií:</w:t>
      </w:r>
    </w:p>
    <w:tbl>
      <w:tblPr>
        <w:tblStyle w:val="TableGrid"/>
        <w:tblW w:w="9492" w:type="dxa"/>
        <w:tblInd w:w="61" w:type="dxa"/>
        <w:tblLayout w:type="fixed"/>
        <w:tblCellMar>
          <w:top w:w="15" w:type="dxa"/>
          <w:left w:w="55" w:type="dxa"/>
          <w:right w:w="38" w:type="dxa"/>
        </w:tblCellMar>
        <w:tblLook w:val="04A0" w:firstRow="1" w:lastRow="0" w:firstColumn="1" w:lastColumn="0" w:noHBand="0" w:noVBand="1"/>
      </w:tblPr>
      <w:tblGrid>
        <w:gridCol w:w="1695"/>
        <w:gridCol w:w="5670"/>
        <w:gridCol w:w="993"/>
        <w:gridCol w:w="1134"/>
      </w:tblGrid>
      <w:tr w:rsidR="00677211" w:rsidRPr="00712097" w14:paraId="2A136A74" w14:textId="77777777" w:rsidTr="00F8366A">
        <w:trPr>
          <w:trHeight w:val="706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0B6E6" w14:textId="77777777" w:rsidR="00677211" w:rsidRPr="00677211" w:rsidRDefault="00677211" w:rsidP="00F8366A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rPr>
                <w:lang w:val="cs-CZ"/>
              </w:rPr>
              <w:t>Hodnotící kritérium číslo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5614F" w14:textId="77777777" w:rsidR="00677211" w:rsidRPr="00677211" w:rsidRDefault="00677211" w:rsidP="009E5D9A">
            <w:pPr>
              <w:spacing w:after="0" w:line="259" w:lineRule="auto"/>
              <w:ind w:right="851"/>
              <w:jc w:val="center"/>
              <w:rPr>
                <w:lang w:val="cs-CZ"/>
              </w:rPr>
            </w:pPr>
            <w:r w:rsidRPr="00677211">
              <w:rPr>
                <w:sz w:val="24"/>
                <w:lang w:val="cs-CZ"/>
              </w:rPr>
              <w:t>Dílčí hodnotící kritérium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2DFAD" w14:textId="77777777" w:rsidR="00677211" w:rsidRPr="00677211" w:rsidRDefault="00677211" w:rsidP="00F8366A">
            <w:pPr>
              <w:spacing w:after="0" w:line="259" w:lineRule="auto"/>
              <w:jc w:val="center"/>
              <w:rPr>
                <w:lang w:val="cs-CZ"/>
              </w:rPr>
            </w:pPr>
            <w:r w:rsidRPr="00677211">
              <w:rPr>
                <w:sz w:val="24"/>
                <w:lang w:val="cs-CZ"/>
              </w:rPr>
              <w:t>Váha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BD0BB" w14:textId="77777777" w:rsidR="00677211" w:rsidRPr="00677211" w:rsidRDefault="00677211" w:rsidP="00F8366A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Povaha</w:t>
            </w:r>
          </w:p>
        </w:tc>
      </w:tr>
      <w:tr w:rsidR="00677211" w:rsidRPr="00712097" w14:paraId="41A748F4" w14:textId="77777777" w:rsidTr="0039503F">
        <w:trPr>
          <w:trHeight w:val="558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7B9C9" w14:textId="77777777" w:rsidR="00677211" w:rsidRPr="00677211" w:rsidRDefault="00677211" w:rsidP="00F8366A">
            <w:pPr>
              <w:spacing w:after="0" w:line="259" w:lineRule="auto"/>
              <w:ind w:left="48"/>
              <w:jc w:val="center"/>
              <w:rPr>
                <w:lang w:val="cs-CZ"/>
              </w:rPr>
            </w:pPr>
            <w:r w:rsidRPr="00677211">
              <w:rPr>
                <w:sz w:val="26"/>
              </w:rPr>
              <w:t>1.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F1F18" w14:textId="19F58E50" w:rsidR="00677211" w:rsidRPr="00677211" w:rsidRDefault="00677211" w:rsidP="00F8366A">
            <w:pPr>
              <w:spacing w:after="0" w:line="259" w:lineRule="auto"/>
              <w:ind w:left="61"/>
            </w:pPr>
            <w:r w:rsidRPr="00677211">
              <w:rPr>
                <w:lang w:val="cs-CZ"/>
              </w:rPr>
              <w:t xml:space="preserve">Celková nabídková cena za zpracování </w:t>
            </w:r>
            <w:r w:rsidR="00C54D65" w:rsidRPr="00C54D65">
              <w:rPr>
                <w:lang w:val="cs-CZ"/>
              </w:rPr>
              <w:t>Strategie rozvoje dopravy a veřejného prostoru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8DC12" w14:textId="265D8B1B" w:rsidR="00677211" w:rsidRPr="00677211" w:rsidRDefault="00F51F5A" w:rsidP="00F8366A">
            <w:pPr>
              <w:spacing w:after="0" w:line="259" w:lineRule="auto"/>
              <w:jc w:val="center"/>
              <w:rPr>
                <w:lang w:val="cs-CZ"/>
              </w:rPr>
            </w:pPr>
            <w:r>
              <w:t>5</w:t>
            </w:r>
            <w:r w:rsidR="004127C9" w:rsidRPr="00677211">
              <w:t xml:space="preserve">0 </w:t>
            </w:r>
            <w:r w:rsidR="00677211" w:rsidRPr="00677211"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F7E25" w14:textId="77777777" w:rsidR="00677211" w:rsidRPr="00677211" w:rsidRDefault="00677211" w:rsidP="00F8366A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Klesající</w:t>
            </w:r>
          </w:p>
        </w:tc>
      </w:tr>
      <w:tr w:rsidR="00677211" w:rsidRPr="00712097" w14:paraId="1A07659D" w14:textId="77777777" w:rsidTr="0039503F">
        <w:trPr>
          <w:trHeight w:val="429"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6879D" w14:textId="77777777" w:rsidR="00677211" w:rsidRPr="00677211" w:rsidRDefault="00677211" w:rsidP="00F8366A">
            <w:pPr>
              <w:spacing w:after="0" w:line="259" w:lineRule="auto"/>
              <w:ind w:left="48"/>
              <w:jc w:val="center"/>
              <w:rPr>
                <w:lang w:val="cs-CZ"/>
              </w:rPr>
            </w:pPr>
            <w:r w:rsidRPr="00677211">
              <w:rPr>
                <w:sz w:val="26"/>
              </w:rPr>
              <w:lastRenderedPageBreak/>
              <w:t>2.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D7D1C" w14:textId="77777777" w:rsidR="00677211" w:rsidRPr="00677211" w:rsidRDefault="00677211" w:rsidP="00F8366A">
            <w:pPr>
              <w:spacing w:after="0" w:line="259" w:lineRule="auto"/>
              <w:ind w:left="65"/>
              <w:jc w:val="left"/>
            </w:pPr>
            <w:r w:rsidRPr="00677211">
              <w:rPr>
                <w:lang w:val="cs-CZ"/>
              </w:rPr>
              <w:t>Kvalita nabízeného řešení</w:t>
            </w:r>
            <w:r w:rsidRPr="00677211"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5644D" w14:textId="6DAE3F2E" w:rsidR="00677211" w:rsidRPr="00677211" w:rsidRDefault="00F51F5A" w:rsidP="00F8366A">
            <w:pPr>
              <w:spacing w:after="0" w:line="259" w:lineRule="auto"/>
              <w:jc w:val="center"/>
              <w:rPr>
                <w:lang w:val="cs-CZ"/>
              </w:rPr>
            </w:pPr>
            <w:r>
              <w:t>5</w:t>
            </w:r>
            <w:r w:rsidR="004127C9" w:rsidRPr="00677211">
              <w:t xml:space="preserve">0 </w:t>
            </w:r>
            <w:r w:rsidR="00677211" w:rsidRPr="00677211"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5C29B" w14:textId="77777777" w:rsidR="00677211" w:rsidRPr="00677211" w:rsidRDefault="00677211" w:rsidP="00F8366A">
            <w:pPr>
              <w:spacing w:after="0" w:line="259" w:lineRule="auto"/>
              <w:ind w:right="-38"/>
              <w:jc w:val="center"/>
            </w:pPr>
            <w:r w:rsidRPr="00677211">
              <w:rPr>
                <w:sz w:val="24"/>
                <w:lang w:val="cs-CZ"/>
              </w:rPr>
              <w:t>Rostoucí</w:t>
            </w:r>
          </w:p>
        </w:tc>
      </w:tr>
    </w:tbl>
    <w:p w14:paraId="4B9D942E" w14:textId="228C116C" w:rsidR="00F8366A" w:rsidRDefault="00F8366A" w:rsidP="0054132C">
      <w:pPr>
        <w:pStyle w:val="Nadpis3"/>
        <w:numPr>
          <w:ilvl w:val="0"/>
          <w:numId w:val="0"/>
        </w:numPr>
        <w:ind w:left="426" w:right="851" w:hanging="426"/>
      </w:pPr>
    </w:p>
    <w:p w14:paraId="4D43950D" w14:textId="1B416FDD" w:rsidR="001659F7" w:rsidRPr="00997636" w:rsidRDefault="00677211" w:rsidP="009E5D9A">
      <w:pPr>
        <w:pStyle w:val="Nadpis3"/>
        <w:ind w:right="851"/>
      </w:pPr>
      <w:r>
        <w:t>Způsob hodnocení</w:t>
      </w:r>
    </w:p>
    <w:p w14:paraId="467711CD" w14:textId="77777777" w:rsidR="00677211" w:rsidRPr="00677211" w:rsidRDefault="00677211" w:rsidP="009E5D9A">
      <w:pPr>
        <w:pStyle w:val="Tabulkatext"/>
        <w:ind w:right="851"/>
        <w:rPr>
          <w:rFonts w:eastAsia="Calibri" w:cs="Times New Roman"/>
          <w:color w:val="auto"/>
          <w:sz w:val="22"/>
        </w:rPr>
      </w:pPr>
      <w:r w:rsidRPr="00677211">
        <w:rPr>
          <w:rFonts w:eastAsia="Calibri" w:cs="Times New Roman"/>
          <w:color w:val="auto"/>
          <w:sz w:val="22"/>
        </w:rPr>
        <w:t>Pro multikriteriální vyhodnocení pořadí účastníků výběrového řízení budou použity následující vzorce:</w:t>
      </w:r>
    </w:p>
    <w:p w14:paraId="6EB79219" w14:textId="77777777" w:rsidR="00677211" w:rsidRDefault="00677211" w:rsidP="009E5D9A">
      <w:pPr>
        <w:pStyle w:val="Tabulkatext"/>
        <w:ind w:right="851"/>
        <w:rPr>
          <w:i/>
        </w:rPr>
      </w:pPr>
    </w:p>
    <w:p w14:paraId="50898318" w14:textId="4CE364C1" w:rsidR="00677211" w:rsidRPr="00677211" w:rsidRDefault="00677211" w:rsidP="009E5D9A">
      <w:pPr>
        <w:pStyle w:val="Tabulkatext"/>
        <w:ind w:right="851"/>
        <w:rPr>
          <w:b/>
          <w:i/>
        </w:rPr>
      </w:pPr>
      <w:r w:rsidRPr="00100BA3">
        <w:rPr>
          <w:rFonts w:eastAsia="Calibri" w:cs="Times New Roman"/>
          <w:b/>
          <w:color w:val="auto"/>
          <w:sz w:val="22"/>
        </w:rPr>
        <w:t>Ad kritérium č. 1 - Celková nabídková cena</w:t>
      </w:r>
    </w:p>
    <w:p w14:paraId="34BA016B" w14:textId="75CD31A0" w:rsidR="001659F7" w:rsidRPr="00F849A7" w:rsidRDefault="001659F7" w:rsidP="009E5D9A">
      <w:pPr>
        <w:ind w:right="851"/>
      </w:pPr>
      <w:r w:rsidRPr="00F849A7">
        <w:t xml:space="preserve">V rámci tohoto kritéria hodnocení bude </w:t>
      </w:r>
      <w:r w:rsidR="005E5E04" w:rsidRPr="00F849A7">
        <w:t>zadavatel hodnotit</w:t>
      </w:r>
      <w:r w:rsidRPr="00F849A7">
        <w:t xml:space="preserve"> celkov</w:t>
      </w:r>
      <w:r w:rsidR="005E5E04" w:rsidRPr="00F849A7">
        <w:t>ou výši</w:t>
      </w:r>
      <w:r w:rsidRPr="00F849A7">
        <w:t xml:space="preserve"> nabídkové ceny </w:t>
      </w:r>
      <w:r w:rsidR="00997636" w:rsidRPr="00F849A7">
        <w:t>za</w:t>
      </w:r>
      <w:r w:rsidR="00F849A7">
        <w:t xml:space="preserve"> plnění předmětu smlouvy</w:t>
      </w:r>
      <w:r w:rsidR="00E71A2B" w:rsidRPr="00F849A7">
        <w:t>. Nabídková cena bude zpracovaná dle pokynů uvedených v čl</w:t>
      </w:r>
      <w:r w:rsidR="00131D67">
        <w:t>ánku</w:t>
      </w:r>
      <w:r w:rsidR="00E71A2B" w:rsidRPr="00F849A7">
        <w:t xml:space="preserve"> 10</w:t>
      </w:r>
      <w:r w:rsidR="0015455A" w:rsidRPr="00F849A7">
        <w:t xml:space="preserve"> </w:t>
      </w:r>
      <w:r w:rsidR="00E71A2B" w:rsidRPr="00F849A7">
        <w:t xml:space="preserve">této </w:t>
      </w:r>
      <w:r w:rsidR="00B036C4">
        <w:t>ZD</w:t>
      </w:r>
      <w:r w:rsidR="0015455A" w:rsidRPr="00F849A7">
        <w:t>.</w:t>
      </w:r>
      <w:r w:rsidR="004D3C93" w:rsidRPr="00F849A7">
        <w:t xml:space="preserve"> </w:t>
      </w:r>
    </w:p>
    <w:p w14:paraId="0A5CCEB7" w14:textId="77777777" w:rsidR="00677211" w:rsidRDefault="00677211" w:rsidP="009E5D9A">
      <w:pPr>
        <w:ind w:right="851"/>
      </w:pPr>
      <w:r w:rsidRPr="00677211">
        <w:t>Pro hodnocení v rámci tohoto kritéria bude použita celková nabídková cena za kompletní realizaci veřejné zakázky v KČ bez DPH, dle následujícího vzorce:</w:t>
      </w:r>
    </w:p>
    <w:p w14:paraId="5133220B" w14:textId="2572F3C9" w:rsidR="00073040" w:rsidRPr="00E41A64" w:rsidRDefault="002B13D1" w:rsidP="009E5D9A">
      <w:pPr>
        <w:ind w:right="851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nejnižší nabídková cena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hodnocená nabídková cena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×váha kritéria (vyjádřená v %) </m:t>
          </m:r>
        </m:oMath>
      </m:oMathPara>
    </w:p>
    <w:p w14:paraId="31ADE586" w14:textId="77777777" w:rsidR="00073040" w:rsidRDefault="00073040" w:rsidP="009E5D9A">
      <w:pPr>
        <w:ind w:right="851"/>
      </w:pPr>
      <w:r w:rsidRPr="00F849A7">
        <w:t xml:space="preserve">Následně bude počet bodů dosažený každým účastníkem přepočten vahou tohoto kritéria hodnocení. Výsledné číslo bude zaokrouhleno na 2 desetinná čísla. </w:t>
      </w:r>
    </w:p>
    <w:p w14:paraId="29E58D2F" w14:textId="77777777" w:rsidR="00677211" w:rsidRPr="00100BA3" w:rsidRDefault="00677211" w:rsidP="009E5D9A">
      <w:pPr>
        <w:ind w:right="851"/>
        <w:rPr>
          <w:b/>
        </w:rPr>
      </w:pPr>
      <w:r w:rsidRPr="00100BA3">
        <w:rPr>
          <w:b/>
        </w:rPr>
        <w:t>Ad kritérium č. 2 - Kvalita nabízeného řešení</w:t>
      </w:r>
    </w:p>
    <w:p w14:paraId="6665FAEB" w14:textId="6D2D7033" w:rsidR="00677211" w:rsidRDefault="00677211" w:rsidP="009E5D9A">
      <w:pPr>
        <w:ind w:right="851"/>
      </w:pPr>
      <w:r>
        <w:t xml:space="preserve">V rámci tohoto kritéria bude hodnocen </w:t>
      </w:r>
      <w:r w:rsidR="009A5154">
        <w:t>dodavatelem</w:t>
      </w:r>
      <w:r>
        <w:t xml:space="preserve"> předložený dokument „Kompletní a detailní specifikace nabízených služeb”</w:t>
      </w:r>
    </w:p>
    <w:p w14:paraId="71580812" w14:textId="51FE2AF5" w:rsidR="00677211" w:rsidRDefault="009A5154" w:rsidP="009E5D9A">
      <w:pPr>
        <w:ind w:right="851"/>
      </w:pPr>
      <w:r>
        <w:t>Dodavatel</w:t>
      </w:r>
      <w:r w:rsidR="00677211">
        <w:t xml:space="preserve"> do nabídky vloží jím navrženou kompletní a detailní specifikaci návrhu plnění veřejné zakázky v</w:t>
      </w:r>
      <w:r w:rsidR="00E41A64">
        <w:t xml:space="preserve"> maximálním</w:t>
      </w:r>
      <w:r w:rsidR="00677211">
        <w:t xml:space="preserve"> rozsahu 5 normostran. V návrhu řešení bude uvedena specifikace řešení jednotlivých okruhů problémů stanovených v předmětu plnění veřejné zakázky. Bude hodnocena konkrétnost a komplexnost předloženého řešení zakázky, logická provázanost jednotlivých částí řešení a exaktnost celkového zpracování, stejně tak jako míra součinnosti se zadavatelem a odborná úroveň a schopnost </w:t>
      </w:r>
      <w:r>
        <w:t>dodavatele</w:t>
      </w:r>
      <w:r w:rsidR="00677211">
        <w:t xml:space="preserve"> řešit jednotlivé odborné oblasti. Z popisu musí vyplynout, že </w:t>
      </w:r>
      <w:r>
        <w:t>dodavatel</w:t>
      </w:r>
      <w:r w:rsidR="00677211">
        <w:t xml:space="preserve"> nabízí plnění, které je plně v souladu s požadavky zadavatele, má jasnou představu o řešení jednotlivých aktivit a úkolů i dostatečné zkušenosti pro řešení zakázky.</w:t>
      </w:r>
    </w:p>
    <w:p w14:paraId="7EF9E74E" w14:textId="77777777" w:rsidR="00C54D65" w:rsidRDefault="00C54D65" w:rsidP="00C54D65">
      <w:pPr>
        <w:ind w:right="851"/>
      </w:pPr>
      <w:r>
        <w:t xml:space="preserve">Dokument musí obsahovat takové informace, aby bylo možné provést hodnocení nabídek. </w:t>
      </w:r>
    </w:p>
    <w:p w14:paraId="542BA5E1" w14:textId="77777777" w:rsidR="00C54D65" w:rsidRDefault="00C54D65" w:rsidP="00205A51">
      <w:pPr>
        <w:pStyle w:val="Odstavecseseznamem"/>
        <w:numPr>
          <w:ilvl w:val="0"/>
          <w:numId w:val="49"/>
        </w:numPr>
        <w:spacing w:before="0" w:after="0" w:line="240" w:lineRule="auto"/>
        <w:ind w:left="426" w:right="851"/>
        <w:jc w:val="left"/>
      </w:pPr>
      <w:r>
        <w:t xml:space="preserve">Nejlépe bude hodnocena nabídka, která nejzřetelněji vyniká </w:t>
      </w:r>
      <w:r w:rsidRPr="000009F9">
        <w:rPr>
          <w:b/>
        </w:rPr>
        <w:t xml:space="preserve">odbornou znalostí dodavatele </w:t>
      </w:r>
      <w:r>
        <w:t xml:space="preserve">řešit dané odborné téma, u které půjde konstatovat, že pracovní postupy nejlépe vyhovují naplnění účelu zakázky s cílem dosáhnout nejlepšího výsledku řešení, </w:t>
      </w:r>
    </w:p>
    <w:p w14:paraId="29877D09" w14:textId="77777777" w:rsidR="00C54D65" w:rsidRDefault="00C54D65" w:rsidP="00205A51">
      <w:pPr>
        <w:pStyle w:val="Odstavecseseznamem"/>
        <w:numPr>
          <w:ilvl w:val="0"/>
          <w:numId w:val="49"/>
        </w:numPr>
        <w:spacing w:before="0" w:after="0" w:line="240" w:lineRule="auto"/>
        <w:ind w:left="426" w:right="851"/>
        <w:jc w:val="left"/>
      </w:pPr>
      <w:r>
        <w:t xml:space="preserve">s </w:t>
      </w:r>
      <w:r w:rsidRPr="000009F9">
        <w:rPr>
          <w:b/>
        </w:rPr>
        <w:t>nejlogičtějším rozdělením jednotlivých fází a dílčích aktivit</w:t>
      </w:r>
      <w:r>
        <w:t>, u které jednotlivé práce představují ucelený systém na sebe navazujících fází.</w:t>
      </w:r>
    </w:p>
    <w:p w14:paraId="6A908E1C" w14:textId="77777777" w:rsidR="00C54D65" w:rsidRDefault="00C54D65" w:rsidP="0039503F">
      <w:pPr>
        <w:pStyle w:val="Odstavecseseznamem"/>
        <w:numPr>
          <w:ilvl w:val="0"/>
          <w:numId w:val="49"/>
        </w:numPr>
        <w:spacing w:before="0" w:after="0" w:line="240" w:lineRule="auto"/>
        <w:ind w:left="426" w:right="851"/>
        <w:jc w:val="left"/>
      </w:pPr>
      <w:r>
        <w:t xml:space="preserve"> Z navržené specifikace řešení plnění veřejné zakázky musí vyplynout </w:t>
      </w:r>
      <w:r w:rsidRPr="000009F9">
        <w:rPr>
          <w:b/>
        </w:rPr>
        <w:t xml:space="preserve">prokazatelná znalost tématu </w:t>
      </w:r>
      <w:r>
        <w:t>a</w:t>
      </w:r>
    </w:p>
    <w:p w14:paraId="1FC3397D" w14:textId="46A8C228" w:rsidR="00C54D65" w:rsidRDefault="00C54D65" w:rsidP="0039503F">
      <w:pPr>
        <w:pStyle w:val="Odstavecseseznamem"/>
        <w:numPr>
          <w:ilvl w:val="0"/>
          <w:numId w:val="49"/>
        </w:numPr>
        <w:spacing w:before="0" w:after="0" w:line="240" w:lineRule="auto"/>
        <w:ind w:left="426" w:right="851"/>
        <w:jc w:val="left"/>
      </w:pPr>
      <w:r w:rsidRPr="009861C0">
        <w:rPr>
          <w:b/>
        </w:rPr>
        <w:lastRenderedPageBreak/>
        <w:t>schopnosti řešitelského týmu dodavatele</w:t>
      </w:r>
      <w:r>
        <w:t xml:space="preserve"> řešit veřejnou zakázku</w:t>
      </w:r>
    </w:p>
    <w:p w14:paraId="0D1276EC" w14:textId="77777777" w:rsidR="00C54D65" w:rsidRDefault="00C54D65" w:rsidP="00C54D65">
      <w:pPr>
        <w:pStyle w:val="Odstavecseseznamem"/>
      </w:pPr>
    </w:p>
    <w:p w14:paraId="77BFB367" w14:textId="62A03057" w:rsidR="004B6E15" w:rsidRDefault="00C54D65" w:rsidP="009861C0">
      <w:pPr>
        <w:pStyle w:val="Odstavecseseznamem"/>
        <w:ind w:left="0" w:right="851"/>
      </w:pPr>
      <w:r w:rsidRPr="00C54D65">
        <w:t xml:space="preserve">Každý člen komise přidělí dodavateli </w:t>
      </w:r>
      <w:r w:rsidR="009861C0">
        <w:t xml:space="preserve">ke </w:t>
      </w:r>
      <w:r w:rsidR="009861C0" w:rsidRPr="009861C0">
        <w:t xml:space="preserve">každému </w:t>
      </w:r>
      <w:r w:rsidR="00FB4218">
        <w:t xml:space="preserve">z výše tučně uvedených </w:t>
      </w:r>
      <w:proofErr w:type="spellStart"/>
      <w:r w:rsidR="00FB4218">
        <w:t>podkritérií</w:t>
      </w:r>
      <w:proofErr w:type="spellEnd"/>
      <w:r w:rsidR="009861C0" w:rsidRPr="009861C0">
        <w:t xml:space="preserve"> 1-5 bodů dle míry naplnění podle </w:t>
      </w:r>
      <w:r w:rsidR="009861C0">
        <w:t>svého</w:t>
      </w:r>
      <w:r w:rsidR="009861C0" w:rsidRPr="009861C0">
        <w:t xml:space="preserve"> </w:t>
      </w:r>
      <w:r w:rsidR="009861C0">
        <w:t xml:space="preserve">úsudku </w:t>
      </w:r>
      <w:r w:rsidRPr="00C54D65">
        <w:t>a zdůvodní své hodnocení</w:t>
      </w:r>
      <w:r w:rsidR="009861C0">
        <w:t xml:space="preserve"> nabídky</w:t>
      </w:r>
      <w:r>
        <w:t xml:space="preserve">. </w:t>
      </w:r>
      <w:r w:rsidR="00677211">
        <w:t xml:space="preserve">Nejlepší </w:t>
      </w:r>
      <w:r w:rsidR="009A5154">
        <w:t>dodavatel</w:t>
      </w:r>
      <w:r w:rsidR="00677211">
        <w:t xml:space="preserve"> získá 100 bodů, ostatním nabídkám bude udělen takový počet bodů, který odpovídá míře naplnění těchto požadavků v porovnání s nejlépe hodnocenou nabídkou. </w:t>
      </w:r>
    </w:p>
    <w:p w14:paraId="7A0E857E" w14:textId="7DAED2E9" w:rsidR="004127C9" w:rsidRDefault="004127C9" w:rsidP="004127C9">
      <w:pPr>
        <w:ind w:right="851"/>
      </w:pPr>
    </w:p>
    <w:p w14:paraId="5A92FF6A" w14:textId="0364AD0E" w:rsidR="00677211" w:rsidRDefault="00677211" w:rsidP="009861C0">
      <w:pPr>
        <w:ind w:right="851"/>
      </w:pPr>
      <w:r>
        <w:t>Získané body budou sečteny a následně vyhodnoceny dle váhy kritéria.</w:t>
      </w:r>
    </w:p>
    <w:p w14:paraId="545D7154" w14:textId="77777777" w:rsidR="00677211" w:rsidRDefault="00677211" w:rsidP="009861C0">
      <w:pPr>
        <w:ind w:right="851"/>
      </w:pPr>
      <w:r>
        <w:t>V případě, že nejvhodnější nabídka = nabídka, která získá nejvyšší počet bodu v hodnocení (povaha rostoucí).</w:t>
      </w:r>
    </w:p>
    <w:p w14:paraId="62379440" w14:textId="1AB124FE" w:rsidR="00677211" w:rsidRDefault="002B13D1" w:rsidP="009E5D9A">
      <w:pPr>
        <w:ind w:right="851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hodnocená nabídka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nejvýhodnější nabídka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×váha kritéria (vyjádřená v %)</m:t>
          </m:r>
        </m:oMath>
      </m:oMathPara>
    </w:p>
    <w:p w14:paraId="45FF2D6D" w14:textId="06608F29" w:rsidR="00677211" w:rsidRPr="00F849A7" w:rsidRDefault="00677211" w:rsidP="009E5D9A">
      <w:pPr>
        <w:ind w:right="851"/>
      </w:pPr>
      <w:r>
        <w:t>Přepočítané hodnoty obou kritérií se sečtou a stanoví se pořadí s tím, že nejvhodnější</w:t>
      </w:r>
      <w:r w:rsidR="00100BA3">
        <w:t xml:space="preserve"> nabídkou bude nabídka s nejvyšším počtem bodů.</w:t>
      </w:r>
    </w:p>
    <w:p w14:paraId="622A6B9C" w14:textId="77777777" w:rsidR="00F94072" w:rsidRDefault="00F94072" w:rsidP="00F8366A">
      <w:pPr>
        <w:pStyle w:val="Nadpis2"/>
        <w:tabs>
          <w:tab w:val="clear" w:pos="1320"/>
          <w:tab w:val="left" w:pos="709"/>
        </w:tabs>
      </w:pPr>
      <w:bookmarkStart w:id="17" w:name="_Toc495314361"/>
      <w:r w:rsidRPr="00F94072">
        <w:t>Podm</w:t>
      </w:r>
      <w:r>
        <w:t>ínky a lhůta pro podání nabídek</w:t>
      </w:r>
      <w:bookmarkEnd w:id="17"/>
    </w:p>
    <w:p w14:paraId="106F24C1" w14:textId="77777777" w:rsidR="006A2B58" w:rsidRDefault="006A2B58" w:rsidP="009E5D9A">
      <w:pPr>
        <w:pStyle w:val="Nadpis3"/>
        <w:ind w:right="851"/>
      </w:pPr>
      <w:r>
        <w:t>Lhůta pro podání nabídek</w:t>
      </w:r>
    </w:p>
    <w:p w14:paraId="12E1B4DE" w14:textId="3B0F6A63" w:rsidR="006A2B58" w:rsidRPr="006B5253" w:rsidRDefault="006A2B58" w:rsidP="009E5D9A">
      <w:pPr>
        <w:spacing w:after="0"/>
        <w:ind w:right="851"/>
      </w:pPr>
      <w:r w:rsidRPr="006B5253">
        <w:t xml:space="preserve">Lhůta pro podání </w:t>
      </w:r>
      <w:proofErr w:type="gramStart"/>
      <w:r w:rsidRPr="006B5253">
        <w:t xml:space="preserve">nabídek:  </w:t>
      </w:r>
      <w:r w:rsidRPr="006B5253">
        <w:tab/>
      </w:r>
      <w:proofErr w:type="gramEnd"/>
      <w:r w:rsidRPr="006B5253">
        <w:t>Datum:</w:t>
      </w:r>
      <w:r w:rsidRPr="006B5253">
        <w:tab/>
      </w:r>
      <w:r w:rsidRPr="006B5253">
        <w:tab/>
      </w:r>
      <w:r w:rsidR="00F47E3D">
        <w:rPr>
          <w:highlight w:val="yellow"/>
        </w:rPr>
        <w:t>XX</w:t>
      </w:r>
      <w:r w:rsidR="0031257E" w:rsidRPr="007E3785">
        <w:rPr>
          <w:highlight w:val="yellow"/>
        </w:rPr>
        <w:t>.</w:t>
      </w:r>
      <w:r w:rsidR="003D64E6" w:rsidRPr="00F47E3D">
        <w:rPr>
          <w:highlight w:val="yellow"/>
        </w:rPr>
        <w:t xml:space="preserve"> </w:t>
      </w:r>
      <w:r w:rsidR="00F47E3D" w:rsidRPr="00F47E3D">
        <w:rPr>
          <w:highlight w:val="yellow"/>
        </w:rPr>
        <w:t>XX</w:t>
      </w:r>
      <w:r w:rsidR="0031257E" w:rsidRPr="003D64E6">
        <w:t>.</w:t>
      </w:r>
      <w:r w:rsidR="003D64E6" w:rsidRPr="003D64E6">
        <w:t xml:space="preserve"> </w:t>
      </w:r>
      <w:r w:rsidR="009861C0" w:rsidRPr="003D64E6">
        <w:t>201</w:t>
      </w:r>
      <w:r w:rsidR="009861C0">
        <w:t>9</w:t>
      </w:r>
      <w:r w:rsidRPr="006B5253">
        <w:tab/>
      </w:r>
    </w:p>
    <w:p w14:paraId="77E45753" w14:textId="77777777" w:rsidR="006A2B58" w:rsidRDefault="006A2B58" w:rsidP="009E5D9A">
      <w:pPr>
        <w:spacing w:before="0"/>
        <w:ind w:left="2126" w:right="851" w:firstLine="709"/>
      </w:pPr>
      <w:r w:rsidRPr="006B5253">
        <w:t>Hodina:</w:t>
      </w:r>
      <w:r w:rsidRPr="006B5253">
        <w:tab/>
      </w:r>
      <w:r w:rsidRPr="006B5253">
        <w:tab/>
      </w:r>
      <w:r w:rsidR="00A32FB3" w:rsidRPr="0031257E">
        <w:t>10</w:t>
      </w:r>
      <w:r w:rsidRPr="0031257E">
        <w:t>:</w:t>
      </w:r>
      <w:r w:rsidR="00C15D41" w:rsidRPr="0031257E">
        <w:t>00</w:t>
      </w:r>
      <w:r w:rsidRPr="0031257E">
        <w:t xml:space="preserve"> hodin</w:t>
      </w:r>
    </w:p>
    <w:p w14:paraId="115952C9" w14:textId="77777777" w:rsidR="00B036C4" w:rsidRDefault="00677211" w:rsidP="009E5D9A">
      <w:pPr>
        <w:ind w:right="851"/>
      </w:pPr>
      <w:r>
        <w:t>Nabídku je nutné předložit na adresu zadavatele zadávacího řízení</w:t>
      </w:r>
      <w:r w:rsidR="00B036C4">
        <w:t>:</w:t>
      </w:r>
    </w:p>
    <w:p w14:paraId="5777A226" w14:textId="5F0569D6" w:rsidR="00205A51" w:rsidRDefault="00B036C4" w:rsidP="009E5D9A">
      <w:pPr>
        <w:ind w:right="851"/>
      </w:pPr>
      <w:r w:rsidRPr="00B036C4">
        <w:t xml:space="preserve"> </w:t>
      </w:r>
      <w:r w:rsidR="00205A51">
        <w:tab/>
      </w:r>
      <w:r>
        <w:t xml:space="preserve">Město Milevsko, </w:t>
      </w:r>
    </w:p>
    <w:p w14:paraId="1361CAB2" w14:textId="30D1B26C" w:rsidR="00205A51" w:rsidRDefault="00B036C4" w:rsidP="0039503F">
      <w:pPr>
        <w:ind w:right="851" w:firstLine="708"/>
      </w:pPr>
      <w:r>
        <w:t>nám. E. Beneše 420</w:t>
      </w:r>
    </w:p>
    <w:p w14:paraId="7EC81D76" w14:textId="5E1DDE7F" w:rsidR="00B036C4" w:rsidRDefault="00B036C4" w:rsidP="0039503F">
      <w:pPr>
        <w:ind w:right="851" w:firstLine="708"/>
      </w:pPr>
      <w:r>
        <w:t xml:space="preserve">PSČ 399 01 Milevsko 1 </w:t>
      </w:r>
    </w:p>
    <w:p w14:paraId="5E1F264F" w14:textId="7E70ED02" w:rsidR="00B036C4" w:rsidRDefault="00B036C4" w:rsidP="009E5D9A">
      <w:pPr>
        <w:ind w:right="851"/>
      </w:pPr>
      <w:r>
        <w:t>-</w:t>
      </w:r>
      <w:r>
        <w:tab/>
        <w:t xml:space="preserve">osobně v pracovních dnech </w:t>
      </w:r>
      <w:proofErr w:type="gramStart"/>
      <w:r>
        <w:t>Po - Pá</w:t>
      </w:r>
      <w:proofErr w:type="gramEnd"/>
      <w:r>
        <w:t xml:space="preserve"> v době od 8.00 - 15.00 hod. (poslední den do 10:00 hod</w:t>
      </w:r>
      <w:r w:rsidR="00D87220">
        <w:t>.</w:t>
      </w:r>
      <w:r>
        <w:t>) pouze na hlavní podatelnu zadavatele</w:t>
      </w:r>
      <w:r w:rsidR="006B0602">
        <w:t xml:space="preserve"> č</w:t>
      </w:r>
      <w:r w:rsidR="008C5D22">
        <w:t>íslo</w:t>
      </w:r>
      <w:r w:rsidR="00870D9E">
        <w:t xml:space="preserve"> </w:t>
      </w:r>
      <w:r w:rsidR="006B0602">
        <w:t>dv</w:t>
      </w:r>
      <w:r w:rsidR="008C5D22">
        <w:t>eří</w:t>
      </w:r>
      <w:r w:rsidR="006B0602">
        <w:t xml:space="preserve"> 109</w:t>
      </w:r>
      <w:r>
        <w:t>, do sídla zadavatele Město Milevsko</w:t>
      </w:r>
      <w:r w:rsidR="009E5D9A">
        <w:t xml:space="preserve">, </w:t>
      </w:r>
      <w:r>
        <w:t>nám. E. Beneše 420, PSČ 399 01 Milevsko 1,</w:t>
      </w:r>
    </w:p>
    <w:p w14:paraId="6C0D9ADC" w14:textId="7E6361FE" w:rsidR="00B036C4" w:rsidRDefault="00B036C4" w:rsidP="009E5D9A">
      <w:pPr>
        <w:ind w:right="851"/>
      </w:pPr>
      <w:r>
        <w:t>-</w:t>
      </w:r>
      <w:r>
        <w:tab/>
        <w:t xml:space="preserve">zaslat na totožnou adresu zadavatele tak, aby byla doručena do skončení lhůty pro podání nabídek, tj. nejpozději do: </w:t>
      </w:r>
      <w:r w:rsidR="00C97368" w:rsidRPr="00C97368">
        <w:rPr>
          <w:highlight w:val="yellow"/>
        </w:rPr>
        <w:t>XX</w:t>
      </w:r>
      <w:r w:rsidR="0031257E" w:rsidRPr="00C97368">
        <w:rPr>
          <w:highlight w:val="yellow"/>
        </w:rPr>
        <w:t>.</w:t>
      </w:r>
      <w:r w:rsidR="008C5D22" w:rsidRPr="00C97368">
        <w:rPr>
          <w:highlight w:val="yellow"/>
        </w:rPr>
        <w:t xml:space="preserve"> </w:t>
      </w:r>
      <w:r w:rsidR="00A53DAE" w:rsidRPr="00A53DAE">
        <w:rPr>
          <w:highlight w:val="yellow"/>
        </w:rPr>
        <w:t>XX</w:t>
      </w:r>
      <w:r w:rsidR="0031257E" w:rsidRPr="003D64E6">
        <w:t>.</w:t>
      </w:r>
      <w:r w:rsidRPr="003D64E6">
        <w:t xml:space="preserve"> </w:t>
      </w:r>
      <w:r w:rsidR="0047522E" w:rsidRPr="003D64E6">
        <w:t>201</w:t>
      </w:r>
      <w:r w:rsidR="0047522E">
        <w:t xml:space="preserve">9 </w:t>
      </w:r>
      <w:r>
        <w:t>do 10:00 hodin.</w:t>
      </w:r>
    </w:p>
    <w:p w14:paraId="60FAD4EB" w14:textId="21BF73FE" w:rsidR="00B036C4" w:rsidRDefault="00B036C4" w:rsidP="009E5D9A">
      <w:pPr>
        <w:ind w:right="851"/>
      </w:pPr>
      <w:r>
        <w:lastRenderedPageBreak/>
        <w:t xml:space="preserve">Nabídky se podávají vždy v řádně uzavřené obálce, kterou zadavatel doporučuje na všech uzavřeních opatřit přelepením. Všechna přelepení doporučuje zadavatel opatřit razítkem nebo podpisem </w:t>
      </w:r>
      <w:r w:rsidR="009A5154">
        <w:t>dodavatele</w:t>
      </w:r>
      <w:r>
        <w:t xml:space="preserve"> nebo podpisem osoby oprávněné jednat za dodavatele. Dále musí být obálka označena názvem zadávacího řízení, názvem dílčí části a adresou, na níž je možno zaslat oznámení zadavatele </w:t>
      </w:r>
      <w:r w:rsidR="009A5154">
        <w:t>dodavatele</w:t>
      </w:r>
      <w:r>
        <w:t xml:space="preserve">. </w:t>
      </w:r>
    </w:p>
    <w:p w14:paraId="11C723E6" w14:textId="77777777" w:rsidR="00B036C4" w:rsidRDefault="00B036C4" w:rsidP="0039503F">
      <w:pPr>
        <w:ind w:right="851"/>
        <w:jc w:val="left"/>
      </w:pPr>
      <w:r>
        <w:t>Zadavatel doporučuje označit obálku nápisem:</w:t>
      </w:r>
    </w:p>
    <w:p w14:paraId="06AF0D19" w14:textId="3555F716" w:rsidR="00677211" w:rsidRPr="00B036C4" w:rsidRDefault="00B036C4" w:rsidP="009861C0">
      <w:pPr>
        <w:ind w:right="851"/>
        <w:rPr>
          <w:b/>
        </w:rPr>
      </w:pPr>
      <w:r w:rsidRPr="00B036C4">
        <w:rPr>
          <w:b/>
        </w:rPr>
        <w:t>“</w:t>
      </w:r>
      <w:proofErr w:type="gramStart"/>
      <w:r w:rsidRPr="00B036C4">
        <w:rPr>
          <w:b/>
        </w:rPr>
        <w:t>NEOTVÍRAT - Strategický</w:t>
      </w:r>
      <w:proofErr w:type="gramEnd"/>
      <w:r w:rsidRPr="00B036C4">
        <w:rPr>
          <w:b/>
        </w:rPr>
        <w:t xml:space="preserve"> rozvojový dokumenty: </w:t>
      </w:r>
      <w:r w:rsidR="009861C0">
        <w:rPr>
          <w:b/>
        </w:rPr>
        <w:t>3</w:t>
      </w:r>
      <w:r w:rsidR="00DE1F55" w:rsidRPr="00DE1F55">
        <w:rPr>
          <w:b/>
        </w:rPr>
        <w:t xml:space="preserve">. část: </w:t>
      </w:r>
      <w:r w:rsidR="009861C0" w:rsidRPr="00FB7C97">
        <w:rPr>
          <w:b/>
        </w:rPr>
        <w:t>Strategie rozvoje dopravy a veřejného prostoru</w:t>
      </w:r>
      <w:r w:rsidRPr="00B036C4">
        <w:rPr>
          <w:b/>
        </w:rPr>
        <w:t>”.</w:t>
      </w:r>
    </w:p>
    <w:p w14:paraId="19A35C9C" w14:textId="3DF4E879" w:rsidR="00205A51" w:rsidRDefault="00677211" w:rsidP="0039503F">
      <w:pPr>
        <w:spacing w:before="0"/>
        <w:ind w:right="851"/>
      </w:pPr>
      <w:r>
        <w:t xml:space="preserve">Doručené nabídky zadavatel </w:t>
      </w:r>
      <w:r w:rsidR="00D87220">
        <w:t>za</w:t>
      </w:r>
      <w:r>
        <w:t>eviduje a přidělí jim pořadová čísla</w:t>
      </w:r>
      <w:r w:rsidR="00D87220">
        <w:t xml:space="preserve"> dle d</w:t>
      </w:r>
      <w:r w:rsidR="00E12D0B">
        <w:t>ata</w:t>
      </w:r>
      <w:r w:rsidR="00D87220">
        <w:t xml:space="preserve"> a času doručení</w:t>
      </w:r>
      <w:r>
        <w:t>.</w:t>
      </w:r>
    </w:p>
    <w:p w14:paraId="2D960D74" w14:textId="320F4753" w:rsidR="007202EF" w:rsidRDefault="007202EF" w:rsidP="0039503F">
      <w:pPr>
        <w:spacing w:before="0"/>
        <w:ind w:right="851"/>
      </w:pPr>
      <w:r w:rsidRPr="007202EF">
        <w:t>K nabídkám doručeným po této lhůtě zadavatel nebude přihlížet</w:t>
      </w:r>
      <w:r>
        <w:t>.</w:t>
      </w:r>
    </w:p>
    <w:p w14:paraId="5A6A0925" w14:textId="77777777" w:rsidR="00D752C6" w:rsidRDefault="00D752C6" w:rsidP="009E5D9A">
      <w:pPr>
        <w:pStyle w:val="Nadpis3"/>
        <w:ind w:right="851"/>
      </w:pPr>
      <w:r>
        <w:t>Podmínky pro podání nabídek</w:t>
      </w:r>
    </w:p>
    <w:p w14:paraId="7EEA2DF4" w14:textId="16858C4A" w:rsidR="00AD1CEE" w:rsidRDefault="00AD1CEE" w:rsidP="0039503F">
      <w:pPr>
        <w:ind w:right="851"/>
      </w:pPr>
      <w:r>
        <w:t xml:space="preserve">Nabídky se podávají </w:t>
      </w:r>
      <w:r w:rsidR="001B0665">
        <w:t>listinné podobě v jednom vyhotovení</w:t>
      </w:r>
      <w:r w:rsidR="001B0665" w:rsidRPr="001B0665">
        <w:t>, musí být dobře čitelná a údaje v ní obsažené nesmí být přepisovány, škrtány nebo jinak upravovány.</w:t>
      </w:r>
    </w:p>
    <w:p w14:paraId="1F552DF3" w14:textId="77777777" w:rsidR="00AD1CEE" w:rsidRDefault="00AD1CEE">
      <w:pPr>
        <w:ind w:right="851"/>
      </w:pPr>
      <w:r>
        <w:t>Nabídku je nutné předložit na adresu zadavatele zadávacího řízení.</w:t>
      </w:r>
    </w:p>
    <w:p w14:paraId="3A34A506" w14:textId="1F43D77B" w:rsidR="00AE2856" w:rsidRDefault="00AE2856">
      <w:pPr>
        <w:ind w:right="851"/>
      </w:pPr>
      <w:r>
        <w:t xml:space="preserve">Nabídka bude zpracována v českém jazyce. </w:t>
      </w:r>
    </w:p>
    <w:p w14:paraId="10ABAC3A" w14:textId="77777777" w:rsidR="00AE2856" w:rsidRDefault="00AE2856">
      <w:pPr>
        <w:ind w:right="851"/>
      </w:pPr>
      <w:r>
        <w:t>Zadavatel nepřipouští varianty nabídky.</w:t>
      </w:r>
    </w:p>
    <w:p w14:paraId="24FAE6C4" w14:textId="77777777" w:rsidR="00AE2856" w:rsidRDefault="00AE2856">
      <w:pPr>
        <w:ind w:right="851"/>
      </w:pPr>
      <w:r>
        <w:t xml:space="preserve">Dodavatel, který podal nabídku v zadávacím řízení, nesmí být současně osobou, jejímž prostřednictvím jiný dodavatel v tomtéž zadávacím řízení prokazuje kvalifikaci. </w:t>
      </w:r>
    </w:p>
    <w:p w14:paraId="4873C1CC" w14:textId="77777777" w:rsidR="00AE2856" w:rsidRDefault="00AE2856">
      <w:pPr>
        <w:ind w:right="851"/>
      </w:pPr>
      <w:r>
        <w:t xml:space="preserve">Pokud účastník zadávacího řízení podá více nabídek samostatně nebo společně s jinými dodavateli, nebo podá nabídku a současně je osobou, jejímž prostřednictvím účastník zadávacího řízení v tomtéž zadávacím řízení prokazuje kvalifikaci, zadavatel takového účastníka zadávacího řízení vyloučí. </w:t>
      </w:r>
    </w:p>
    <w:p w14:paraId="1BDE8BB9" w14:textId="22358D90" w:rsidR="004F1B65" w:rsidRDefault="004F1B65" w:rsidP="009E5D9A">
      <w:pPr>
        <w:pStyle w:val="Nadpis3"/>
        <w:ind w:right="851"/>
      </w:pPr>
      <w:r>
        <w:t xml:space="preserve">Otevírání </w:t>
      </w:r>
      <w:r w:rsidR="00213BE6">
        <w:t>nabídek</w:t>
      </w:r>
    </w:p>
    <w:p w14:paraId="43A2FF2A" w14:textId="484F9BF8" w:rsidR="00F94072" w:rsidRDefault="00637071" w:rsidP="009E5D9A">
      <w:pPr>
        <w:ind w:right="851"/>
      </w:pPr>
      <w:r w:rsidRPr="00637071">
        <w:t xml:space="preserve">Otevírání obálek bude zahájeno bez zbytečného odkladu po uplynutí lhůty pro podání nabídek v sídle zadavatele, tzn. Milevsko 1, nám. E. Beneše 420, PSČ 399 01, </w:t>
      </w:r>
      <w:r w:rsidR="0031257E">
        <w:t>v kanceláři starosty města</w:t>
      </w:r>
      <w:r w:rsidR="005D0D6C">
        <w:t>.</w:t>
      </w:r>
      <w:r w:rsidRPr="00637071">
        <w:t xml:space="preserve"> Otevírání obálek se koná bez přítomnosti </w:t>
      </w:r>
      <w:r w:rsidR="009A5154">
        <w:t>dodavatelů</w:t>
      </w:r>
      <w:r w:rsidRPr="00637071">
        <w:t>.</w:t>
      </w:r>
    </w:p>
    <w:p w14:paraId="5F23C89F" w14:textId="77777777" w:rsidR="00357BB0" w:rsidRPr="004E3447" w:rsidRDefault="004E3447" w:rsidP="00F8366A">
      <w:pPr>
        <w:pStyle w:val="Nadpis2"/>
        <w:tabs>
          <w:tab w:val="clear" w:pos="1320"/>
          <w:tab w:val="left" w:pos="709"/>
        </w:tabs>
      </w:pPr>
      <w:bookmarkStart w:id="18" w:name="_Toc495314362"/>
      <w:r w:rsidRPr="004E3447">
        <w:t xml:space="preserve">VYSVĚTLENÍ </w:t>
      </w:r>
      <w:r w:rsidR="004F1B65" w:rsidRPr="004E3447">
        <w:t>ZADÁVACÍ DOKUMENTACE</w:t>
      </w:r>
      <w:bookmarkEnd w:id="18"/>
    </w:p>
    <w:p w14:paraId="7AD457D8" w14:textId="77777777" w:rsidR="004F1B65" w:rsidRDefault="004F1B65" w:rsidP="009E5D9A">
      <w:pPr>
        <w:pStyle w:val="Nadpis3"/>
        <w:ind w:right="851"/>
      </w:pPr>
      <w:r>
        <w:t>Vysvětlení zadávací dokumentace</w:t>
      </w:r>
    </w:p>
    <w:p w14:paraId="3F3B02BD" w14:textId="68148D31" w:rsidR="00A52567" w:rsidRDefault="004F1B65" w:rsidP="009E5D9A">
      <w:pPr>
        <w:ind w:right="851"/>
      </w:pPr>
      <w:r>
        <w:lastRenderedPageBreak/>
        <w:t xml:space="preserve">Zadavatel může zadávací dokumentaci vysvětlit. Takové vysvětlení (případně související dokumenty) </w:t>
      </w:r>
      <w:r w:rsidR="00363CD0">
        <w:t xml:space="preserve">zadavatel </w:t>
      </w:r>
      <w:r>
        <w:t xml:space="preserve">uveřejní na profilu zadavatele </w:t>
      </w:r>
      <w:r w:rsidR="00A240A2">
        <w:t xml:space="preserve">a portálu </w:t>
      </w:r>
      <w:hyperlink r:id="rId14" w:history="1">
        <w:r w:rsidR="00A240A2" w:rsidRPr="00B70F6C">
          <w:rPr>
            <w:rStyle w:val="Hypertextovodkaz"/>
          </w:rPr>
          <w:t>www.esfcr.cz</w:t>
        </w:r>
      </w:hyperlink>
      <w:r w:rsidR="00A240A2">
        <w:t xml:space="preserve"> </w:t>
      </w:r>
      <w:r>
        <w:t xml:space="preserve">nejméně </w:t>
      </w:r>
      <w:r w:rsidR="00637071">
        <w:t>4</w:t>
      </w:r>
      <w:r>
        <w:t xml:space="preserve"> pracovní</w:t>
      </w:r>
      <w:r w:rsidR="002D77EC">
        <w:t>ch</w:t>
      </w:r>
      <w:r>
        <w:t xml:space="preserve"> dnů před uplynutím lhůty pro podání nabídek.</w:t>
      </w:r>
      <w:r w:rsidR="00363CD0">
        <w:t xml:space="preserve"> </w:t>
      </w:r>
      <w:r>
        <w:t>Pokud o vysvětle</w:t>
      </w:r>
      <w:r w:rsidR="00A240A2">
        <w:t xml:space="preserve">ní zadávací dokumentace písemně (poštou, emailem) </w:t>
      </w:r>
      <w:r>
        <w:t xml:space="preserve">požádá dodavatel, </w:t>
      </w:r>
      <w:r w:rsidR="00363CD0">
        <w:t>zadavatel uveřejní vysvětlení</w:t>
      </w:r>
      <w:r w:rsidR="00A240A2">
        <w:t xml:space="preserve"> </w:t>
      </w:r>
      <w:r w:rsidR="00A240A2" w:rsidRPr="00A240A2">
        <w:t>podmínek (včetně přesného znění dota</w:t>
      </w:r>
      <w:r w:rsidR="00A240A2">
        <w:t xml:space="preserve">zu, na který zadavatel reaguje) </w:t>
      </w:r>
      <w:r w:rsidR="00363CD0">
        <w:t xml:space="preserve">do </w:t>
      </w:r>
      <w:r w:rsidR="00637071">
        <w:t>2</w:t>
      </w:r>
      <w:r w:rsidR="00363CD0">
        <w:t xml:space="preserve"> pracovních dní od doručení žádosti. </w:t>
      </w:r>
    </w:p>
    <w:p w14:paraId="7A4CC4BF" w14:textId="6E24BFE1" w:rsidR="0054132C" w:rsidRDefault="00363CD0" w:rsidP="009E5D9A">
      <w:pPr>
        <w:ind w:right="851"/>
      </w:pPr>
      <w:r>
        <w:t>Z</w:t>
      </w:r>
      <w:r w:rsidR="004F1B65">
        <w:t xml:space="preserve">adavatel není povinen vysvětlení poskytnout, pokud není žádost o vysvětlení doručena alespoň </w:t>
      </w:r>
      <w:r w:rsidR="00637071">
        <w:t>3</w:t>
      </w:r>
      <w:r w:rsidR="00D77553">
        <w:t> </w:t>
      </w:r>
      <w:r w:rsidR="004F1B65">
        <w:t>pracovní</w:t>
      </w:r>
      <w:r w:rsidR="00637071">
        <w:t xml:space="preserve"> dny</w:t>
      </w:r>
      <w:r w:rsidR="004F1B65">
        <w:t xml:space="preserve"> před uplynutím lhůty pro podání nabídek</w:t>
      </w:r>
      <w:r w:rsidR="00637071">
        <w:t>.</w:t>
      </w:r>
      <w:r w:rsidR="00A52567">
        <w:t xml:space="preserve"> </w:t>
      </w:r>
    </w:p>
    <w:p w14:paraId="48129DB1" w14:textId="77777777" w:rsidR="00363CD0" w:rsidRDefault="00363CD0" w:rsidP="009E5D9A">
      <w:pPr>
        <w:pStyle w:val="Nadpis3"/>
        <w:ind w:right="851"/>
      </w:pPr>
      <w:r>
        <w:t>Změna nebo doplnění zadávací dokumentace</w:t>
      </w:r>
    </w:p>
    <w:p w14:paraId="0D38647F" w14:textId="01DBE56D" w:rsidR="00A52567" w:rsidRDefault="00363CD0" w:rsidP="009E5D9A">
      <w:pPr>
        <w:ind w:right="851"/>
      </w:pPr>
      <w:r w:rsidRPr="00363CD0">
        <w:t xml:space="preserve">Zadavatel upozorňuje dodavatele, že před uplynutím lhůty pro podání nabídek </w:t>
      </w:r>
      <w:r>
        <w:t xml:space="preserve">může </w:t>
      </w:r>
      <w:r w:rsidRPr="00363CD0">
        <w:t>změnit nebo doplnit zadávací podmínky obsažené v zadávací dokumentaci. Případná změna nebo doplnění zadá</w:t>
      </w:r>
      <w:r>
        <w:t>vací dokumentace bude uveřejněna</w:t>
      </w:r>
      <w:r w:rsidRPr="00363CD0">
        <w:t xml:space="preserve"> </w:t>
      </w:r>
      <w:r>
        <w:t>na profilu zadavatele</w:t>
      </w:r>
      <w:r w:rsidR="004B7FA6">
        <w:t xml:space="preserve"> a portálu </w:t>
      </w:r>
      <w:hyperlink r:id="rId15" w:history="1">
        <w:r w:rsidR="004B7FA6" w:rsidRPr="00B70F6C">
          <w:rPr>
            <w:rStyle w:val="Hypertextovodkaz"/>
          </w:rPr>
          <w:t>www.esfcr.cz</w:t>
        </w:r>
      </w:hyperlink>
      <w:r w:rsidR="00D77553">
        <w:t>, a to nejméně 5 </w:t>
      </w:r>
      <w:r w:rsidR="00A52567">
        <w:t>pracovních dnů před uplynutím lhůty pro podání nabídek</w:t>
      </w:r>
      <w:r w:rsidRPr="00363CD0">
        <w:t>.</w:t>
      </w:r>
      <w:r>
        <w:t xml:space="preserve"> </w:t>
      </w:r>
    </w:p>
    <w:p w14:paraId="477423C5" w14:textId="77777777" w:rsidR="00363CD0" w:rsidRDefault="00363CD0" w:rsidP="009E5D9A">
      <w:pPr>
        <w:ind w:right="851"/>
      </w:pPr>
      <w:r w:rsidRPr="00363CD0">
        <w:t xml:space="preserve">Pokud to povaha doplnění nebo změny zadávací dokumentace bude vyžadovat, zadavatel současně s tím přiměřeně prodlouží lhůtu pro podání nabídek. V případě takové změny nebo doplnění zadávací dokumentace, která může rozšířit okruh možných účastníků zadávacího řízení, prodlouží zadavatel lhůtu </w:t>
      </w:r>
      <w:r>
        <w:t xml:space="preserve">pro podání nabídek </w:t>
      </w:r>
      <w:r w:rsidRPr="00363CD0">
        <w:t>tak, aby činila nejméně celou svou původní délku.</w:t>
      </w:r>
    </w:p>
    <w:p w14:paraId="2AB63966" w14:textId="166EFD9C" w:rsidR="00357BB0" w:rsidRDefault="00722857" w:rsidP="00F8366A">
      <w:pPr>
        <w:pStyle w:val="Nadpis2"/>
        <w:tabs>
          <w:tab w:val="clear" w:pos="1320"/>
          <w:tab w:val="left" w:pos="709"/>
        </w:tabs>
      </w:pPr>
      <w:bookmarkStart w:id="19" w:name="_Toc495314365"/>
      <w:r>
        <w:t>P</w:t>
      </w:r>
      <w:r w:rsidR="00357BB0">
        <w:t xml:space="preserve">ráva a </w:t>
      </w:r>
      <w:r w:rsidR="002F72B7">
        <w:t xml:space="preserve">podmínky </w:t>
      </w:r>
      <w:r w:rsidR="00357BB0">
        <w:t>zadavatele</w:t>
      </w:r>
      <w:bookmarkEnd w:id="19"/>
    </w:p>
    <w:p w14:paraId="2BC4C83C" w14:textId="77777777" w:rsidR="0060569B" w:rsidRDefault="0060569B" w:rsidP="009E5D9A">
      <w:pPr>
        <w:ind w:right="851"/>
      </w:pPr>
      <w:r>
        <w:t>Zadavatel si vyhrazuje právo:</w:t>
      </w:r>
    </w:p>
    <w:p w14:paraId="374278E5" w14:textId="13F0FDA4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na změnu, upřesnění ne</w:t>
      </w:r>
      <w:r w:rsidR="00655E65">
        <w:t>bo doplnění zadávacích podmínek;</w:t>
      </w:r>
    </w:p>
    <w:p w14:paraId="0C24AD88" w14:textId="786F086D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ověřit informac</w:t>
      </w:r>
      <w:r w:rsidR="00E10E7B">
        <w:t xml:space="preserve">e a údaje deklarované </w:t>
      </w:r>
      <w:r w:rsidR="00655E65">
        <w:t>v nabídce dodavatelem</w:t>
      </w:r>
      <w:r w:rsidR="004C7BDB">
        <w:t xml:space="preserve"> či v dalších </w:t>
      </w:r>
      <w:r w:rsidR="00655E65">
        <w:t xml:space="preserve">předkládaných </w:t>
      </w:r>
      <w:r w:rsidR="004C7BDB">
        <w:t>dokumentech</w:t>
      </w:r>
      <w:r>
        <w:t>;</w:t>
      </w:r>
    </w:p>
    <w:p w14:paraId="7621E0B1" w14:textId="77777777" w:rsidR="0060569B" w:rsidRDefault="0060569B" w:rsidP="009E5D9A">
      <w:pPr>
        <w:pStyle w:val="Odstavecseseznamem"/>
        <w:numPr>
          <w:ilvl w:val="0"/>
          <w:numId w:val="12"/>
        </w:numPr>
        <w:ind w:right="851"/>
      </w:pPr>
      <w:r>
        <w:t>neposkytovat úhradu nákladů</w:t>
      </w:r>
      <w:r w:rsidR="00562CF9">
        <w:t xml:space="preserve"> </w:t>
      </w:r>
      <w:r>
        <w:t>na účast v zadávacím řízení</w:t>
      </w:r>
      <w:r w:rsidR="00562CF9">
        <w:t>, ani žádné soutěžní ceny či jiné platby</w:t>
      </w:r>
      <w:r>
        <w:t>;</w:t>
      </w:r>
    </w:p>
    <w:p w14:paraId="12ADDDDA" w14:textId="77777777" w:rsidR="00655E65" w:rsidRDefault="0060569B" w:rsidP="009E5D9A">
      <w:pPr>
        <w:pStyle w:val="Odstavecseseznamem"/>
        <w:numPr>
          <w:ilvl w:val="0"/>
          <w:numId w:val="12"/>
        </w:numPr>
        <w:ind w:right="851"/>
      </w:pPr>
      <w:r>
        <w:t xml:space="preserve">zrušit zadávací řízení </w:t>
      </w:r>
      <w:r w:rsidR="00655E65">
        <w:t>až do okamžiku podpisu smlouvy s vybraným dodavatelem;</w:t>
      </w:r>
    </w:p>
    <w:p w14:paraId="20D5E04F" w14:textId="77777777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 xml:space="preserve">nevracet podané nabídky; </w:t>
      </w:r>
    </w:p>
    <w:p w14:paraId="053E5961" w14:textId="4055FA96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 xml:space="preserve">vyloučit nabídky, jež jsou obsahově nekompletní vzhledem k zadávací dokumentaci, nebo nesplňují požadavky a podmínky podle zadávací dokumentace, nebo zjistí-li zadavatel kdykoliv v průběhu soutěže, že </w:t>
      </w:r>
      <w:r w:rsidR="009A5154">
        <w:t>dodavatel</w:t>
      </w:r>
      <w:r>
        <w:t xml:space="preserve"> uvedl v předložené nabídce nepravdivé údaje;</w:t>
      </w:r>
    </w:p>
    <w:p w14:paraId="206486A6" w14:textId="09B8DE31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>nesdělovat informace o podaných nabídkách a o subjektech, které je podaly</w:t>
      </w:r>
      <w:r w:rsidR="00A53DAE">
        <w:t>;</w:t>
      </w:r>
      <w:r>
        <w:t xml:space="preserve"> </w:t>
      </w:r>
    </w:p>
    <w:p w14:paraId="2C08EC8A" w14:textId="4B8E5855" w:rsidR="00655E65" w:rsidRDefault="00655E65" w:rsidP="009E5D9A">
      <w:pPr>
        <w:pStyle w:val="Odstavecseseznamem"/>
        <w:numPr>
          <w:ilvl w:val="0"/>
          <w:numId w:val="12"/>
        </w:numPr>
        <w:ind w:right="851"/>
      </w:pPr>
      <w:r>
        <w:t>pokud zadavatel zruší zadávací řízení, nevzniká dodavatelům vůči zadavateli jakýkoliv nárok.</w:t>
      </w:r>
    </w:p>
    <w:p w14:paraId="384D60B7" w14:textId="6D6744DE" w:rsidR="0060569B" w:rsidRDefault="00655E65" w:rsidP="009E5D9A">
      <w:pPr>
        <w:ind w:right="851"/>
      </w:pPr>
      <w:r>
        <w:t>Z</w:t>
      </w:r>
      <w:r w:rsidR="00EB5418" w:rsidRPr="00EB5418">
        <w:t xml:space="preserve">adávací </w:t>
      </w:r>
      <w:r w:rsidR="00EB5418">
        <w:t>podmínky nesmí být považovány</w:t>
      </w:r>
      <w:r w:rsidR="00EB5418" w:rsidRPr="00EB5418">
        <w:t xml:space="preserve"> za investiční doporučení učiněné zadavatelem pro jakéhokoli </w:t>
      </w:r>
      <w:r w:rsidR="00EB5418">
        <w:t>dodavatele</w:t>
      </w:r>
      <w:r w:rsidR="00EB5418" w:rsidRPr="00EB5418">
        <w:t xml:space="preserve"> či jinou osobu, která se zamýšlí podílet na veřejné zakázce; každý </w:t>
      </w:r>
      <w:r w:rsidR="00EB5418">
        <w:t>dodavatel</w:t>
      </w:r>
      <w:r w:rsidR="00EB5418" w:rsidRPr="00EB5418">
        <w:t xml:space="preserve"> či jiná osoba, jíž byla zadávací dokumentace zpřístupněna, si musí provést své vlastní nezávislé zhodnocení veřejné zakázky.</w:t>
      </w:r>
    </w:p>
    <w:p w14:paraId="4A4BBCFA" w14:textId="418F373E" w:rsidR="00340A21" w:rsidRDefault="00340A21" w:rsidP="009E5D9A">
      <w:pPr>
        <w:ind w:right="851"/>
      </w:pPr>
      <w:r w:rsidRPr="00B51EDE">
        <w:lastRenderedPageBreak/>
        <w:t>Jakékoliv výdaje, práce či úsilí vynaložené před konečným zadáním veřejné zakázky jsou výlučně záležitostí obchodního úsudku účastníka. Účastník nemá nárok na jakékoliv náhrady nákladů spojených s jejich účastí v zadávacím řízení, včetně přípravy a podání nabídky. Zadavatel ani nebude v souvislosti se zadávacím řízením poskytovat žádné soutěžní ceny ani jiné platby účastníkům.</w:t>
      </w:r>
    </w:p>
    <w:p w14:paraId="7B01484B" w14:textId="2D9A492A" w:rsidR="00623EA2" w:rsidRDefault="00623EA2" w:rsidP="009E5D9A">
      <w:pPr>
        <w:ind w:right="851"/>
        <w:rPr>
          <w:rFonts w:cs="Arial"/>
        </w:rPr>
      </w:pPr>
      <w:r>
        <w:t xml:space="preserve">Zadavatel připomíná, že tato zakázka je veřejnou zakázkou malého rozsahu dle </w:t>
      </w:r>
      <w:r w:rsidRPr="001E3F18">
        <w:rPr>
          <w:rFonts w:cs="Arial"/>
        </w:rPr>
        <w:t>§</w:t>
      </w:r>
      <w:r>
        <w:rPr>
          <w:rFonts w:cs="Arial"/>
        </w:rPr>
        <w:t xml:space="preserve"> 27 ZZVZ a zadávanou s výjimkou zásad </w:t>
      </w:r>
      <w:r w:rsidRPr="001E3F18">
        <w:rPr>
          <w:rFonts w:cs="Arial"/>
        </w:rPr>
        <w:t>§</w:t>
      </w:r>
      <w:r>
        <w:rPr>
          <w:rFonts w:cs="Arial"/>
        </w:rPr>
        <w:t xml:space="preserve"> 6 ZZVZ mimo režim ZZVZ. Jakýkoliv postup či úkon zadavatele učiněný v tomto řízení není postupem či úkonem dle ZZVZ, byť by takový úkon či postup formálně připomínal. Pokud je tedy např. v této ZD obsažen odkaz na konkrétní ustanovení ZZVZ, je postup podle tohoto ustanovení použit pouze jako zadavatelem zvolená analogie.</w:t>
      </w:r>
    </w:p>
    <w:p w14:paraId="0B840D12" w14:textId="77777777" w:rsidR="00357BB0" w:rsidRDefault="00357BB0" w:rsidP="00F8366A">
      <w:pPr>
        <w:pStyle w:val="Nadpis2"/>
        <w:tabs>
          <w:tab w:val="clear" w:pos="1320"/>
          <w:tab w:val="left" w:pos="709"/>
        </w:tabs>
      </w:pPr>
      <w:bookmarkStart w:id="20" w:name="_Toc495314366"/>
      <w:r>
        <w:t>Seznam příloh</w:t>
      </w:r>
      <w:bookmarkEnd w:id="20"/>
    </w:p>
    <w:p w14:paraId="63F6350B" w14:textId="77777777" w:rsidR="00582F77" w:rsidRDefault="00582F77" w:rsidP="009E5D9A">
      <w:pPr>
        <w:keepNext/>
        <w:keepLines/>
        <w:tabs>
          <w:tab w:val="left" w:pos="360"/>
        </w:tabs>
        <w:ind w:right="851"/>
        <w:rPr>
          <w:rFonts w:ascii="Calibri" w:hAnsi="Calibri" w:cs="Arial"/>
          <w:bCs/>
        </w:rPr>
      </w:pPr>
      <w:r w:rsidRPr="003868F7">
        <w:rPr>
          <w:rFonts w:ascii="Calibri" w:hAnsi="Calibri" w:cs="Arial"/>
          <w:bCs/>
        </w:rPr>
        <w:t>Nedílnou součástí této zadávací dokumentace tvoří následující přílohy:</w:t>
      </w:r>
    </w:p>
    <w:tbl>
      <w:tblPr>
        <w:tblStyle w:val="Mkatabulky"/>
        <w:tblW w:w="0" w:type="auto"/>
        <w:tblLayout w:type="fixed"/>
        <w:tblLook w:val="04E0" w:firstRow="1" w:lastRow="1" w:firstColumn="1" w:lastColumn="0" w:noHBand="0" w:noVBand="1"/>
      </w:tblPr>
      <w:tblGrid>
        <w:gridCol w:w="1526"/>
        <w:gridCol w:w="8080"/>
      </w:tblGrid>
      <w:tr w:rsidR="00582F77" w:rsidRPr="00BF6350" w14:paraId="1C27125E" w14:textId="77777777" w:rsidTr="0039503F">
        <w:trPr>
          <w:trHeight w:hRule="exact" w:val="491"/>
        </w:trPr>
        <w:tc>
          <w:tcPr>
            <w:tcW w:w="1526" w:type="dxa"/>
            <w:shd w:val="clear" w:color="auto" w:fill="C9E305"/>
            <w:vAlign w:val="center"/>
          </w:tcPr>
          <w:p w14:paraId="775DC81A" w14:textId="77777777" w:rsidR="00582F77" w:rsidRPr="00DE326A" w:rsidRDefault="00582F77" w:rsidP="00741A5C">
            <w:pPr>
              <w:spacing w:before="120" w:after="120"/>
              <w:ind w:right="34"/>
              <w:jc w:val="center"/>
              <w:rPr>
                <w:b/>
              </w:rPr>
            </w:pPr>
            <w:r>
              <w:rPr>
                <w:b/>
              </w:rPr>
              <w:t>Pořadí příloh</w:t>
            </w:r>
          </w:p>
        </w:tc>
        <w:tc>
          <w:tcPr>
            <w:tcW w:w="8080" w:type="dxa"/>
            <w:shd w:val="clear" w:color="auto" w:fill="C9E305"/>
            <w:vAlign w:val="center"/>
          </w:tcPr>
          <w:p w14:paraId="63D276DE" w14:textId="77777777" w:rsidR="00582F77" w:rsidRPr="00DE326A" w:rsidRDefault="00582F77" w:rsidP="009E5D9A">
            <w:pPr>
              <w:spacing w:before="120" w:after="120"/>
              <w:ind w:right="851"/>
              <w:jc w:val="center"/>
              <w:rPr>
                <w:b/>
              </w:rPr>
            </w:pPr>
            <w:r>
              <w:rPr>
                <w:b/>
              </w:rPr>
              <w:t>Název přílohy zadávací dokumentace</w:t>
            </w:r>
          </w:p>
        </w:tc>
      </w:tr>
      <w:tr w:rsidR="00655E65" w:rsidRPr="00BF6350" w14:paraId="12444D41" w14:textId="77777777" w:rsidTr="0039503F">
        <w:trPr>
          <w:trHeight w:hRule="exact" w:val="711"/>
        </w:trPr>
        <w:tc>
          <w:tcPr>
            <w:tcW w:w="1526" w:type="dxa"/>
            <w:vAlign w:val="center"/>
          </w:tcPr>
          <w:p w14:paraId="21F87352" w14:textId="77777777" w:rsidR="00655E65" w:rsidRPr="00B4754F" w:rsidRDefault="00655E65" w:rsidP="0039503F">
            <w:pPr>
              <w:spacing w:before="0" w:after="0"/>
              <w:jc w:val="left"/>
            </w:pPr>
            <w:r>
              <w:t>Příloha č. 1</w:t>
            </w:r>
          </w:p>
        </w:tc>
        <w:tc>
          <w:tcPr>
            <w:tcW w:w="8080" w:type="dxa"/>
            <w:vAlign w:val="center"/>
          </w:tcPr>
          <w:p w14:paraId="536CDC17" w14:textId="2C15FC9F" w:rsidR="00655E65" w:rsidRPr="00EB5418" w:rsidRDefault="00655E65" w:rsidP="0039503F">
            <w:pPr>
              <w:spacing w:before="120" w:after="120"/>
              <w:ind w:right="851"/>
              <w:jc w:val="left"/>
            </w:pPr>
            <w:r w:rsidRPr="00393263">
              <w:t>vzor Krycího listu nabídky</w:t>
            </w:r>
          </w:p>
        </w:tc>
      </w:tr>
      <w:tr w:rsidR="00655E65" w:rsidRPr="00BF6350" w14:paraId="45636D8E" w14:textId="77777777" w:rsidTr="0039503F">
        <w:trPr>
          <w:trHeight w:val="687"/>
        </w:trPr>
        <w:tc>
          <w:tcPr>
            <w:tcW w:w="1526" w:type="dxa"/>
            <w:vAlign w:val="center"/>
          </w:tcPr>
          <w:p w14:paraId="6154637E" w14:textId="77777777" w:rsidR="00655E65" w:rsidRPr="00B4754F" w:rsidRDefault="00655E65" w:rsidP="0039503F">
            <w:pPr>
              <w:spacing w:before="0" w:after="0"/>
              <w:jc w:val="left"/>
            </w:pPr>
            <w:r>
              <w:t>Příloha č. 2</w:t>
            </w:r>
          </w:p>
        </w:tc>
        <w:tc>
          <w:tcPr>
            <w:tcW w:w="8080" w:type="dxa"/>
            <w:vAlign w:val="center"/>
          </w:tcPr>
          <w:p w14:paraId="7D79D168" w14:textId="7C9910D1" w:rsidR="00655E65" w:rsidRPr="00216075" w:rsidRDefault="00655E65" w:rsidP="0039503F">
            <w:pPr>
              <w:spacing w:before="120" w:after="120"/>
              <w:ind w:right="851"/>
              <w:jc w:val="left"/>
            </w:pPr>
            <w:r w:rsidRPr="00393263">
              <w:t xml:space="preserve">vzor čestného prohlášení </w:t>
            </w:r>
            <w:r w:rsidR="002372E4">
              <w:t xml:space="preserve">o </w:t>
            </w:r>
            <w:r w:rsidRPr="00393263">
              <w:t>splnění základní způsobilosti</w:t>
            </w:r>
          </w:p>
        </w:tc>
      </w:tr>
      <w:tr w:rsidR="00655E65" w:rsidRPr="00BF6350" w14:paraId="19572D4A" w14:textId="77777777" w:rsidTr="0039503F">
        <w:trPr>
          <w:trHeight w:val="698"/>
        </w:trPr>
        <w:tc>
          <w:tcPr>
            <w:tcW w:w="1526" w:type="dxa"/>
            <w:vAlign w:val="center"/>
          </w:tcPr>
          <w:p w14:paraId="0B1C9166" w14:textId="08AE3A2A" w:rsidR="00655E65" w:rsidRDefault="00655E65" w:rsidP="0039503F">
            <w:pPr>
              <w:spacing w:before="0" w:after="0"/>
              <w:jc w:val="left"/>
            </w:pPr>
            <w:r>
              <w:t>Příloha č. 3</w:t>
            </w:r>
          </w:p>
        </w:tc>
        <w:tc>
          <w:tcPr>
            <w:tcW w:w="8080" w:type="dxa"/>
            <w:vAlign w:val="center"/>
          </w:tcPr>
          <w:p w14:paraId="62029D3E" w14:textId="455F7B86" w:rsidR="00655E65" w:rsidRPr="00741ED6" w:rsidRDefault="00655E65" w:rsidP="0039503F">
            <w:pPr>
              <w:spacing w:before="120" w:after="120"/>
              <w:ind w:right="851"/>
              <w:jc w:val="left"/>
            </w:pPr>
            <w:r w:rsidRPr="00393263">
              <w:t>návrh Smlouvy</w:t>
            </w:r>
          </w:p>
        </w:tc>
      </w:tr>
      <w:tr w:rsidR="00655E65" w:rsidRPr="00BF6350" w14:paraId="008CC4B8" w14:textId="77777777" w:rsidTr="0039503F">
        <w:trPr>
          <w:trHeight w:val="693"/>
        </w:trPr>
        <w:tc>
          <w:tcPr>
            <w:tcW w:w="1526" w:type="dxa"/>
            <w:vAlign w:val="center"/>
          </w:tcPr>
          <w:p w14:paraId="35C5145A" w14:textId="297BDFAA" w:rsidR="00655E65" w:rsidRDefault="00655E65" w:rsidP="0039503F">
            <w:pPr>
              <w:spacing w:before="0" w:after="0"/>
              <w:jc w:val="left"/>
            </w:pPr>
            <w:r>
              <w:t>Příloha č. 4</w:t>
            </w:r>
          </w:p>
        </w:tc>
        <w:tc>
          <w:tcPr>
            <w:tcW w:w="8080" w:type="dxa"/>
            <w:vAlign w:val="center"/>
          </w:tcPr>
          <w:p w14:paraId="64AA9E6E" w14:textId="7B12938D" w:rsidR="00655E65" w:rsidRDefault="00655E65" w:rsidP="0039503F">
            <w:pPr>
              <w:spacing w:before="120" w:after="120"/>
              <w:ind w:right="851"/>
              <w:jc w:val="left"/>
            </w:pPr>
            <w:r w:rsidRPr="00393263">
              <w:t>vzor Složení řešitelského týmu</w:t>
            </w:r>
          </w:p>
        </w:tc>
      </w:tr>
      <w:tr w:rsidR="00655E65" w:rsidRPr="00BF6350" w14:paraId="668A65FF" w14:textId="77777777" w:rsidTr="0039503F">
        <w:trPr>
          <w:trHeight w:val="703"/>
        </w:trPr>
        <w:tc>
          <w:tcPr>
            <w:tcW w:w="1526" w:type="dxa"/>
            <w:vAlign w:val="center"/>
          </w:tcPr>
          <w:p w14:paraId="6BEB1189" w14:textId="10404A76" w:rsidR="00655E65" w:rsidRDefault="00655E65" w:rsidP="0039503F">
            <w:pPr>
              <w:spacing w:before="0" w:after="0"/>
              <w:jc w:val="left"/>
            </w:pPr>
            <w:r>
              <w:t>Příloha č. 5</w:t>
            </w:r>
          </w:p>
        </w:tc>
        <w:tc>
          <w:tcPr>
            <w:tcW w:w="8080" w:type="dxa"/>
            <w:vAlign w:val="center"/>
          </w:tcPr>
          <w:p w14:paraId="340CB50C" w14:textId="12B37A31" w:rsidR="00655E65" w:rsidRDefault="00655E65" w:rsidP="0039503F">
            <w:pPr>
              <w:spacing w:before="120" w:after="120"/>
              <w:ind w:right="851"/>
              <w:jc w:val="left"/>
            </w:pPr>
            <w:r w:rsidRPr="00393263">
              <w:t>vzor Seznamu významných služeb</w:t>
            </w:r>
          </w:p>
        </w:tc>
      </w:tr>
      <w:tr w:rsidR="00655E65" w:rsidRPr="00BF6350" w14:paraId="32A7F5D6" w14:textId="77777777" w:rsidTr="0039503F">
        <w:trPr>
          <w:trHeight w:val="699"/>
        </w:trPr>
        <w:tc>
          <w:tcPr>
            <w:tcW w:w="1526" w:type="dxa"/>
            <w:vAlign w:val="center"/>
          </w:tcPr>
          <w:p w14:paraId="3A15623C" w14:textId="1EFA24BE" w:rsidR="00655E65" w:rsidRDefault="00655E65" w:rsidP="0039503F">
            <w:pPr>
              <w:spacing w:before="0" w:after="0"/>
              <w:jc w:val="left"/>
            </w:pPr>
            <w:r>
              <w:t>Příloha č. 6</w:t>
            </w:r>
          </w:p>
        </w:tc>
        <w:tc>
          <w:tcPr>
            <w:tcW w:w="8080" w:type="dxa"/>
            <w:vAlign w:val="center"/>
          </w:tcPr>
          <w:p w14:paraId="6166751E" w14:textId="0A6367EC" w:rsidR="00655E65" w:rsidRDefault="00655E65" w:rsidP="0039503F">
            <w:pPr>
              <w:spacing w:before="120" w:after="120"/>
              <w:ind w:right="851"/>
              <w:jc w:val="left"/>
            </w:pPr>
            <w:r w:rsidRPr="00393263">
              <w:t>Bližší specifikace předmětu plnění zakázky</w:t>
            </w:r>
          </w:p>
        </w:tc>
      </w:tr>
      <w:tr w:rsidR="00741A5C" w:rsidRPr="00BF6350" w14:paraId="460B75B1" w14:textId="77777777" w:rsidTr="0039503F">
        <w:trPr>
          <w:trHeight w:val="695"/>
        </w:trPr>
        <w:tc>
          <w:tcPr>
            <w:tcW w:w="1526" w:type="dxa"/>
            <w:vAlign w:val="center"/>
          </w:tcPr>
          <w:p w14:paraId="222355A2" w14:textId="15971B75" w:rsidR="00741A5C" w:rsidRDefault="00741A5C" w:rsidP="0039503F">
            <w:pPr>
              <w:spacing w:before="0" w:after="0"/>
              <w:jc w:val="left"/>
            </w:pPr>
            <w:r>
              <w:t>Příloha č. 7</w:t>
            </w:r>
          </w:p>
        </w:tc>
        <w:tc>
          <w:tcPr>
            <w:tcW w:w="8080" w:type="dxa"/>
            <w:vAlign w:val="center"/>
          </w:tcPr>
          <w:p w14:paraId="4098EEBC" w14:textId="4F33AC0C" w:rsidR="00741A5C" w:rsidRPr="00393263" w:rsidRDefault="00741A5C" w:rsidP="0039503F">
            <w:pPr>
              <w:spacing w:before="120" w:after="120"/>
              <w:ind w:right="851"/>
              <w:jc w:val="left"/>
            </w:pPr>
            <w:r w:rsidRPr="00C549B8">
              <w:t>vzor čestného prohlášení dodavatele o nezávislém zpracování nabídky</w:t>
            </w:r>
          </w:p>
        </w:tc>
      </w:tr>
    </w:tbl>
    <w:p w14:paraId="3C0703E0" w14:textId="59CA821C" w:rsidR="00582F77" w:rsidRDefault="00582F77" w:rsidP="009E5D9A">
      <w:pPr>
        <w:spacing w:before="360"/>
        <w:ind w:right="851"/>
      </w:pPr>
      <w:r>
        <w:t xml:space="preserve">V </w:t>
      </w:r>
      <w:r w:rsidR="001F03F4">
        <w:t>Milevsku</w:t>
      </w:r>
      <w:r>
        <w:t xml:space="preserve"> </w:t>
      </w:r>
      <w:r w:rsidRPr="001F03F4">
        <w:t xml:space="preserve">dne </w:t>
      </w:r>
      <w:r w:rsidR="00DE1F55" w:rsidRPr="007E3785">
        <w:rPr>
          <w:highlight w:val="yellow"/>
        </w:rPr>
        <w:t>XX</w:t>
      </w:r>
      <w:r w:rsidR="00E1572E" w:rsidRPr="007E3785">
        <w:rPr>
          <w:highlight w:val="yellow"/>
        </w:rPr>
        <w:t xml:space="preserve">. </w:t>
      </w:r>
      <w:r w:rsidR="009861C0" w:rsidRPr="007E3785">
        <w:rPr>
          <w:highlight w:val="yellow"/>
        </w:rPr>
        <w:t>0</w:t>
      </w:r>
      <w:r w:rsidR="009861C0">
        <w:t>2</w:t>
      </w:r>
      <w:r w:rsidR="00E1572E" w:rsidRPr="003D64E6">
        <w:t xml:space="preserve">. </w:t>
      </w:r>
      <w:r w:rsidR="009861C0" w:rsidRPr="003D64E6">
        <w:t>201</w:t>
      </w:r>
      <w:r w:rsidR="009861C0">
        <w:t>9</w:t>
      </w:r>
      <w:r>
        <w:tab/>
      </w:r>
    </w:p>
    <w:p w14:paraId="6961571A" w14:textId="7FBDF117" w:rsidR="001329F9" w:rsidRDefault="00582F77" w:rsidP="009E5D9A">
      <w:pPr>
        <w:tabs>
          <w:tab w:val="center" w:pos="6379"/>
        </w:tabs>
        <w:spacing w:before="0" w:after="120"/>
        <w:ind w:right="851"/>
      </w:pPr>
      <w:r>
        <w:tab/>
        <w:t>________________________________________</w:t>
      </w:r>
      <w:r>
        <w:br/>
      </w:r>
      <w:r>
        <w:tab/>
      </w:r>
      <w:r w:rsidR="00655E65">
        <w:rPr>
          <w:b/>
        </w:rPr>
        <w:t>Město Milevsko</w:t>
      </w:r>
    </w:p>
    <w:p w14:paraId="56576094" w14:textId="56E30968" w:rsidR="00AF2634" w:rsidRDefault="001329F9" w:rsidP="009E5D9A">
      <w:pPr>
        <w:tabs>
          <w:tab w:val="center" w:pos="6379"/>
        </w:tabs>
        <w:spacing w:before="0" w:after="0"/>
        <w:ind w:right="851"/>
      </w:pPr>
      <w:r>
        <w:t xml:space="preserve"> </w:t>
      </w:r>
      <w:r>
        <w:tab/>
      </w:r>
      <w:r w:rsidR="00655E65" w:rsidRPr="00655E65">
        <w:t>Ing. Ivan Radosta</w:t>
      </w:r>
    </w:p>
    <w:p w14:paraId="2FA05822" w14:textId="2B3DE6B2" w:rsidR="00997636" w:rsidRDefault="00A32FB3" w:rsidP="009E5D9A">
      <w:pPr>
        <w:tabs>
          <w:tab w:val="center" w:pos="6379"/>
        </w:tabs>
        <w:spacing w:before="0" w:after="0"/>
        <w:ind w:right="851"/>
      </w:pPr>
      <w:r>
        <w:lastRenderedPageBreak/>
        <w:tab/>
      </w:r>
      <w:r w:rsidRPr="00741ED6">
        <w:t xml:space="preserve"> </w:t>
      </w:r>
      <w:r w:rsidR="00655E65">
        <w:t>starosta města</w:t>
      </w:r>
    </w:p>
    <w:sectPr w:rsidR="00997636" w:rsidSect="000610C2">
      <w:headerReference w:type="default" r:id="rId16"/>
      <w:footerReference w:type="default" r:id="rId17"/>
      <w:pgSz w:w="11906" w:h="16838"/>
      <w:pgMar w:top="2629" w:right="140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9115E" w14:textId="77777777" w:rsidR="002B13D1" w:rsidRDefault="002B13D1" w:rsidP="00004DAC">
      <w:pPr>
        <w:spacing w:before="0" w:after="0" w:line="240" w:lineRule="auto"/>
      </w:pPr>
      <w:r>
        <w:separator/>
      </w:r>
    </w:p>
  </w:endnote>
  <w:endnote w:type="continuationSeparator" w:id="0">
    <w:p w14:paraId="33D4B5CF" w14:textId="77777777" w:rsidR="002B13D1" w:rsidRDefault="002B13D1" w:rsidP="00004D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DFE9C" w14:textId="6EB3171C" w:rsidR="00C13742" w:rsidRDefault="00C13742" w:rsidP="006009F5">
    <w:pPr>
      <w:pStyle w:val="Zpat"/>
      <w:tabs>
        <w:tab w:val="clear" w:pos="4536"/>
        <w:tab w:val="clear" w:pos="9072"/>
        <w:tab w:val="right" w:pos="8789"/>
      </w:tabs>
      <w:rPr>
        <w:rFonts w:ascii="Calibri" w:hAnsi="Calibri" w:cstheme="minorHAnsi"/>
        <w:sz w:val="18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AF67A73" wp14:editId="4E2E07C2">
          <wp:simplePos x="0" y="0"/>
          <wp:positionH relativeFrom="column">
            <wp:posOffset>5643047</wp:posOffset>
          </wp:positionH>
          <wp:positionV relativeFrom="paragraph">
            <wp:posOffset>462915</wp:posOffset>
          </wp:positionV>
          <wp:extent cx="328310" cy="351276"/>
          <wp:effectExtent l="0" t="0" r="0" b="0"/>
          <wp:wrapNone/>
          <wp:docPr id="9" name="Obrázek 9" descr="E: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10" cy="35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2D54C1" w14:textId="29CD7CDC" w:rsidR="00C13742" w:rsidRPr="008D1573" w:rsidRDefault="00C13742" w:rsidP="006009F5">
    <w:pPr>
      <w:pStyle w:val="Zpat"/>
      <w:tabs>
        <w:tab w:val="clear" w:pos="4536"/>
        <w:tab w:val="clear" w:pos="9072"/>
        <w:tab w:val="right" w:pos="8789"/>
      </w:tabs>
      <w:rPr>
        <w:rFonts w:cstheme="minorHAnsi"/>
        <w:sz w:val="24"/>
      </w:rPr>
    </w:pPr>
    <w:r w:rsidRPr="008D1573">
      <w:rPr>
        <w:rFonts w:ascii="Calibri" w:hAnsi="Calibri" w:cstheme="minorHAnsi"/>
        <w:sz w:val="18"/>
        <w:szCs w:val="16"/>
      </w:rPr>
      <w:t xml:space="preserve">strana </w:t>
    </w:r>
    <w:r w:rsidRPr="008D1573">
      <w:rPr>
        <w:rFonts w:ascii="Calibri" w:hAnsi="Calibri" w:cstheme="minorHAnsi"/>
        <w:b/>
        <w:sz w:val="18"/>
        <w:szCs w:val="16"/>
      </w:rPr>
      <w:fldChar w:fldCharType="begin"/>
    </w:r>
    <w:r w:rsidRPr="008D1573">
      <w:rPr>
        <w:rFonts w:ascii="Calibri" w:hAnsi="Calibri" w:cstheme="minorHAnsi"/>
        <w:b/>
        <w:sz w:val="18"/>
        <w:szCs w:val="16"/>
      </w:rPr>
      <w:instrText xml:space="preserve"> PAGE  \* Arabic  \* MERGEFORMAT </w:instrText>
    </w:r>
    <w:r w:rsidRPr="008D1573">
      <w:rPr>
        <w:rFonts w:ascii="Calibri" w:hAnsi="Calibri" w:cstheme="minorHAnsi"/>
        <w:b/>
        <w:sz w:val="18"/>
        <w:szCs w:val="16"/>
      </w:rPr>
      <w:fldChar w:fldCharType="separate"/>
    </w:r>
    <w:r w:rsidR="00F51F5A">
      <w:rPr>
        <w:rFonts w:ascii="Calibri" w:hAnsi="Calibri" w:cstheme="minorHAnsi"/>
        <w:b/>
        <w:noProof/>
        <w:sz w:val="18"/>
        <w:szCs w:val="16"/>
      </w:rPr>
      <w:t>1</w:t>
    </w:r>
    <w:r w:rsidRPr="008D1573">
      <w:rPr>
        <w:rFonts w:ascii="Calibri" w:hAnsi="Calibri" w:cstheme="minorHAnsi"/>
        <w:b/>
        <w:sz w:val="18"/>
        <w:szCs w:val="16"/>
      </w:rPr>
      <w:fldChar w:fldCharType="end"/>
    </w:r>
    <w:r w:rsidRPr="008D1573">
      <w:rPr>
        <w:rFonts w:ascii="Calibri" w:hAnsi="Calibri" w:cstheme="minorHAnsi"/>
        <w:sz w:val="18"/>
        <w:szCs w:val="16"/>
      </w:rPr>
      <w:t xml:space="preserve"> z </w:t>
    </w:r>
    <w:r w:rsidRPr="008D1573">
      <w:rPr>
        <w:rFonts w:ascii="Calibri" w:hAnsi="Calibri" w:cstheme="minorHAnsi"/>
        <w:b/>
        <w:sz w:val="18"/>
        <w:szCs w:val="16"/>
      </w:rPr>
      <w:fldChar w:fldCharType="begin"/>
    </w:r>
    <w:r w:rsidRPr="008D1573">
      <w:rPr>
        <w:rFonts w:ascii="Calibri" w:hAnsi="Calibri" w:cstheme="minorHAnsi"/>
        <w:b/>
        <w:sz w:val="18"/>
        <w:szCs w:val="16"/>
      </w:rPr>
      <w:instrText>NUMPAGES</w:instrText>
    </w:r>
    <w:r w:rsidRPr="008D1573">
      <w:rPr>
        <w:rFonts w:ascii="Calibri" w:hAnsi="Calibri" w:cstheme="minorHAnsi"/>
        <w:b/>
        <w:sz w:val="18"/>
        <w:szCs w:val="16"/>
      </w:rPr>
      <w:fldChar w:fldCharType="separate"/>
    </w:r>
    <w:r w:rsidR="00F51F5A">
      <w:rPr>
        <w:rFonts w:ascii="Calibri" w:hAnsi="Calibri" w:cstheme="minorHAnsi"/>
        <w:b/>
        <w:noProof/>
        <w:sz w:val="18"/>
        <w:szCs w:val="16"/>
      </w:rPr>
      <w:t>18</w:t>
    </w:r>
    <w:r w:rsidRPr="008D1573">
      <w:rPr>
        <w:rFonts w:ascii="Calibri" w:hAnsi="Calibri" w:cstheme="minorHAnsi"/>
        <w:b/>
        <w:sz w:val="18"/>
        <w:szCs w:val="16"/>
      </w:rPr>
      <w:fldChar w:fldCharType="end"/>
    </w:r>
    <w:r w:rsidRPr="008D1573">
      <w:rPr>
        <w:rFonts w:cstheme="minorHAnsi"/>
        <w:b/>
        <w:sz w:val="18"/>
        <w:szCs w:val="16"/>
      </w:rPr>
      <w:tab/>
    </w:r>
    <w:r w:rsidRPr="00A83810">
      <w:rPr>
        <w:rFonts w:cstheme="minorHAnsi"/>
        <w:b/>
        <w:color w:val="C2D69B" w:themeColor="accent3" w:themeTint="99"/>
        <w:sz w:val="40"/>
        <w:szCs w:val="40"/>
      </w:rPr>
      <w:t>VZ</w:t>
    </w:r>
    <w:r>
      <w:rPr>
        <w:rFonts w:cstheme="minorHAnsi"/>
        <w:b/>
        <w:color w:val="C2D69B" w:themeColor="accent3" w:themeTint="99"/>
        <w:sz w:val="48"/>
        <w:szCs w:val="4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85A1F" w14:textId="77777777" w:rsidR="002B13D1" w:rsidRDefault="002B13D1" w:rsidP="00004DAC">
      <w:pPr>
        <w:spacing w:before="0" w:after="0" w:line="240" w:lineRule="auto"/>
      </w:pPr>
      <w:r>
        <w:separator/>
      </w:r>
    </w:p>
  </w:footnote>
  <w:footnote w:type="continuationSeparator" w:id="0">
    <w:p w14:paraId="3432A557" w14:textId="77777777" w:rsidR="002B13D1" w:rsidRDefault="002B13D1" w:rsidP="00004D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68452" w14:textId="7BE68B23" w:rsidR="00C13742" w:rsidRDefault="00C13742" w:rsidP="00F8366A">
    <w:pPr>
      <w:pStyle w:val="Zhlav"/>
      <w:tabs>
        <w:tab w:val="clear" w:pos="4536"/>
        <w:tab w:val="center" w:pos="7371"/>
      </w:tabs>
    </w:pPr>
    <w:r>
      <w:rPr>
        <w:noProof/>
        <w:lang w:eastAsia="cs-CZ"/>
      </w:rPr>
      <w:drawing>
        <wp:inline distT="0" distB="0" distL="0" distR="0" wp14:anchorId="3C9626CE" wp14:editId="089AAD1D">
          <wp:extent cx="3291167" cy="682389"/>
          <wp:effectExtent l="0" t="0" r="5080" b="3810"/>
          <wp:docPr id="7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0388" cy="69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mc:AlternateContent>
        <mc:Choice Requires="wps">
          <w:drawing>
            <wp:inline distT="0" distB="0" distL="0" distR="0" wp14:anchorId="275E0464" wp14:editId="0D62C458">
              <wp:extent cx="1282535" cy="702049"/>
              <wp:effectExtent l="0" t="0" r="0" b="3175"/>
              <wp:docPr id="4" name="Obdélník 4" descr="5 (002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282535" cy="7020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B368107" id="Obdélník 4" o:spid="_x0000_s1026" alt="5 (002)" style="width:101pt;height:5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cs-CZ"/>
      </w:rPr>
      <w:drawing>
        <wp:inline distT="0" distB="0" distL="0" distR="0" wp14:anchorId="5674C077" wp14:editId="6E79EAD9">
          <wp:extent cx="1082271" cy="564334"/>
          <wp:effectExtent l="0" t="0" r="3810" b="7620"/>
          <wp:docPr id="8" name="Obrázek 8" descr="Živé Milevsko – Smart Reg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Živé Milevsko – Smart Regi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210" cy="564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1791"/>
    <w:multiLevelType w:val="hybridMultilevel"/>
    <w:tmpl w:val="6AF6FF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439"/>
    <w:multiLevelType w:val="hybridMultilevel"/>
    <w:tmpl w:val="1E9CA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E26B1"/>
    <w:multiLevelType w:val="hybridMultilevel"/>
    <w:tmpl w:val="1AB4C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EFC28E8">
      <w:start w:val="1"/>
      <w:numFmt w:val="upperRoman"/>
      <w:lvlText w:val="%3."/>
      <w:lvlJc w:val="right"/>
      <w:pPr>
        <w:ind w:left="2160" w:hanging="180"/>
      </w:pPr>
      <w:rPr>
        <w:rFonts w:asciiTheme="minorHAnsi" w:eastAsia="Calibri" w:hAnsiTheme="minorHAnsi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4C51"/>
    <w:multiLevelType w:val="hybridMultilevel"/>
    <w:tmpl w:val="1C265D26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0BD34D76"/>
    <w:multiLevelType w:val="hybridMultilevel"/>
    <w:tmpl w:val="8F4CE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B616B"/>
    <w:multiLevelType w:val="hybridMultilevel"/>
    <w:tmpl w:val="4D64514C"/>
    <w:lvl w:ilvl="0" w:tplc="8AD0DF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42E7"/>
    <w:multiLevelType w:val="hybridMultilevel"/>
    <w:tmpl w:val="A0BCC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6123D"/>
    <w:multiLevelType w:val="multilevel"/>
    <w:tmpl w:val="DEC481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37B7784"/>
    <w:multiLevelType w:val="hybridMultilevel"/>
    <w:tmpl w:val="C5389A8C"/>
    <w:lvl w:ilvl="0" w:tplc="04050015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33913"/>
    <w:multiLevelType w:val="hybridMultilevel"/>
    <w:tmpl w:val="B0CCF3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2208B1"/>
    <w:multiLevelType w:val="hybridMultilevel"/>
    <w:tmpl w:val="1B3C5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26C9E"/>
    <w:multiLevelType w:val="hybridMultilevel"/>
    <w:tmpl w:val="811C9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833DC"/>
    <w:multiLevelType w:val="hybridMultilevel"/>
    <w:tmpl w:val="0790A3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E339B5"/>
    <w:multiLevelType w:val="hybridMultilevel"/>
    <w:tmpl w:val="E280F7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0417E"/>
    <w:multiLevelType w:val="hybridMultilevel"/>
    <w:tmpl w:val="34F2AD76"/>
    <w:lvl w:ilvl="0" w:tplc="17B247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1880E1A"/>
    <w:multiLevelType w:val="hybridMultilevel"/>
    <w:tmpl w:val="373ED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70254"/>
    <w:multiLevelType w:val="hybridMultilevel"/>
    <w:tmpl w:val="596CD922"/>
    <w:lvl w:ilvl="0" w:tplc="97EE1B0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1E6928"/>
    <w:multiLevelType w:val="hybridMultilevel"/>
    <w:tmpl w:val="FD7404DE"/>
    <w:numStyleLink w:val="Importovanstyl16"/>
  </w:abstractNum>
  <w:abstractNum w:abstractNumId="18" w15:restartNumberingAfterBreak="0">
    <w:nsid w:val="29653A69"/>
    <w:multiLevelType w:val="hybridMultilevel"/>
    <w:tmpl w:val="44F61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71088"/>
    <w:multiLevelType w:val="hybridMultilevel"/>
    <w:tmpl w:val="BEDC6EF6"/>
    <w:lvl w:ilvl="0" w:tplc="6E506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9D006C"/>
    <w:multiLevelType w:val="hybridMultilevel"/>
    <w:tmpl w:val="BFCA53DC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D88798B"/>
    <w:multiLevelType w:val="hybridMultilevel"/>
    <w:tmpl w:val="9C7A6CBE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631E4"/>
    <w:multiLevelType w:val="hybridMultilevel"/>
    <w:tmpl w:val="543AC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E646E"/>
    <w:multiLevelType w:val="hybridMultilevel"/>
    <w:tmpl w:val="A56EED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E925690">
      <w:numFmt w:val="bullet"/>
      <w:lvlText w:val="-"/>
      <w:lvlJc w:val="left"/>
      <w:pPr>
        <w:ind w:left="2340" w:hanging="360"/>
      </w:pPr>
      <w:rPr>
        <w:rFonts w:ascii="Calibri" w:eastAsiaTheme="minorHAnsi" w:hAnsi="Calibri" w:cs="Times New Roman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F55F9"/>
    <w:multiLevelType w:val="hybridMultilevel"/>
    <w:tmpl w:val="0BF659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E6DF7"/>
    <w:multiLevelType w:val="hybridMultilevel"/>
    <w:tmpl w:val="C67AA93E"/>
    <w:lvl w:ilvl="0" w:tplc="52B0C2AE">
      <w:start w:val="1"/>
      <w:numFmt w:val="lowerLetter"/>
      <w:lvlText w:val="%1)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8EDF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3843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0AF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86FE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B23D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092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CA6E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8E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6E239D5"/>
    <w:multiLevelType w:val="hybridMultilevel"/>
    <w:tmpl w:val="C3BCB5D4"/>
    <w:lvl w:ilvl="0" w:tplc="040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5870DD"/>
    <w:multiLevelType w:val="hybridMultilevel"/>
    <w:tmpl w:val="44C0DC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A27259F"/>
    <w:multiLevelType w:val="hybridMultilevel"/>
    <w:tmpl w:val="FD7404DE"/>
    <w:styleLink w:val="Importovanstyl16"/>
    <w:lvl w:ilvl="0" w:tplc="31DE8D7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F322490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22A2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22E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B096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0C68D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1A30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96C08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9860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3B561154"/>
    <w:multiLevelType w:val="hybridMultilevel"/>
    <w:tmpl w:val="CB9CD6F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886C68"/>
    <w:multiLevelType w:val="hybridMultilevel"/>
    <w:tmpl w:val="3D44B870"/>
    <w:lvl w:ilvl="0" w:tplc="2056CD1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0C646F"/>
    <w:multiLevelType w:val="hybridMultilevel"/>
    <w:tmpl w:val="9EBC2C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C41DF"/>
    <w:multiLevelType w:val="hybridMultilevel"/>
    <w:tmpl w:val="702E2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FF247F"/>
    <w:multiLevelType w:val="hybridMultilevel"/>
    <w:tmpl w:val="5282B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EC1770"/>
    <w:multiLevelType w:val="hybridMultilevel"/>
    <w:tmpl w:val="AA8C459A"/>
    <w:lvl w:ilvl="0" w:tplc="569E4E08">
      <w:start w:val="1"/>
      <w:numFmt w:val="bullet"/>
      <w:lvlText w:val="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5" w15:restartNumberingAfterBreak="0">
    <w:nsid w:val="48AC272E"/>
    <w:multiLevelType w:val="hybridMultilevel"/>
    <w:tmpl w:val="822C6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CC57C0"/>
    <w:multiLevelType w:val="hybridMultilevel"/>
    <w:tmpl w:val="B5FC1F26"/>
    <w:lvl w:ilvl="0" w:tplc="F84E73DE">
      <w:start w:val="1"/>
      <w:numFmt w:val="upperLetter"/>
      <w:pStyle w:val="ABCbullets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769E1E02">
      <w:start w:val="1"/>
      <w:numFmt w:val="bullet"/>
      <w:pStyle w:val="BulletsL1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3EE1B95"/>
    <w:multiLevelType w:val="hybridMultilevel"/>
    <w:tmpl w:val="959CE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A2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45360A"/>
    <w:multiLevelType w:val="hybridMultilevel"/>
    <w:tmpl w:val="AD38A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B17738"/>
    <w:multiLevelType w:val="hybridMultilevel"/>
    <w:tmpl w:val="EF843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3957BF"/>
    <w:multiLevelType w:val="hybridMultilevel"/>
    <w:tmpl w:val="2B84C8A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D1B0C53"/>
    <w:multiLevelType w:val="hybridMultilevel"/>
    <w:tmpl w:val="06ECD926"/>
    <w:lvl w:ilvl="0" w:tplc="28326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102F5A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6D7C38"/>
    <w:multiLevelType w:val="hybridMultilevel"/>
    <w:tmpl w:val="95160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386793"/>
    <w:multiLevelType w:val="hybridMultilevel"/>
    <w:tmpl w:val="B48290F2"/>
    <w:lvl w:ilvl="0" w:tplc="1FF6645C">
      <w:start w:val="1"/>
      <w:numFmt w:val="lowerLetter"/>
      <w:pStyle w:val="Bezmez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F1A1F"/>
    <w:multiLevelType w:val="multilevel"/>
    <w:tmpl w:val="5826423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bullet"/>
      <w:lvlText w:val="o"/>
      <w:lvlJc w:val="left"/>
      <w:pPr>
        <w:tabs>
          <w:tab w:val="num" w:pos="850"/>
        </w:tabs>
        <w:ind w:left="850" w:hanging="425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45" w15:restartNumberingAfterBreak="0">
    <w:nsid w:val="6FEB5F3A"/>
    <w:multiLevelType w:val="hybridMultilevel"/>
    <w:tmpl w:val="EE3869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B4288"/>
    <w:multiLevelType w:val="hybridMultilevel"/>
    <w:tmpl w:val="58EE088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3F96C36"/>
    <w:multiLevelType w:val="hybridMultilevel"/>
    <w:tmpl w:val="8D8A8968"/>
    <w:lvl w:ilvl="0" w:tplc="04050017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BAACE814">
      <w:numFmt w:val="bullet"/>
      <w:lvlText w:val="·"/>
      <w:lvlJc w:val="left"/>
      <w:pPr>
        <w:ind w:left="2187" w:hanging="69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8" w15:restartNumberingAfterBreak="0">
    <w:nsid w:val="7A5C7FAE"/>
    <w:multiLevelType w:val="hybridMultilevel"/>
    <w:tmpl w:val="0CDEF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0664EC"/>
    <w:multiLevelType w:val="hybridMultilevel"/>
    <w:tmpl w:val="ED125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3B536B"/>
    <w:multiLevelType w:val="hybridMultilevel"/>
    <w:tmpl w:val="3CF4E4FA"/>
    <w:lvl w:ilvl="0" w:tplc="97AC4E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3"/>
  </w:num>
  <w:num w:numId="3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</w:num>
  <w:num w:numId="5">
    <w:abstractNumId w:val="39"/>
  </w:num>
  <w:num w:numId="6">
    <w:abstractNumId w:val="42"/>
  </w:num>
  <w:num w:numId="7">
    <w:abstractNumId w:val="37"/>
  </w:num>
  <w:num w:numId="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18"/>
  </w:num>
  <w:num w:numId="11">
    <w:abstractNumId w:val="1"/>
  </w:num>
  <w:num w:numId="12">
    <w:abstractNumId w:val="38"/>
  </w:num>
  <w:num w:numId="13">
    <w:abstractNumId w:val="24"/>
  </w:num>
  <w:num w:numId="14">
    <w:abstractNumId w:val="45"/>
  </w:num>
  <w:num w:numId="15">
    <w:abstractNumId w:val="21"/>
  </w:num>
  <w:num w:numId="16">
    <w:abstractNumId w:val="49"/>
  </w:num>
  <w:num w:numId="17">
    <w:abstractNumId w:val="4"/>
  </w:num>
  <w:num w:numId="18">
    <w:abstractNumId w:val="33"/>
  </w:num>
  <w:num w:numId="19">
    <w:abstractNumId w:val="10"/>
  </w:num>
  <w:num w:numId="20">
    <w:abstractNumId w:val="32"/>
  </w:num>
  <w:num w:numId="21">
    <w:abstractNumId w:val="15"/>
  </w:num>
  <w:num w:numId="22">
    <w:abstractNumId w:val="7"/>
  </w:num>
  <w:num w:numId="23">
    <w:abstractNumId w:val="5"/>
  </w:num>
  <w:num w:numId="24">
    <w:abstractNumId w:val="11"/>
  </w:num>
  <w:num w:numId="25">
    <w:abstractNumId w:val="20"/>
  </w:num>
  <w:num w:numId="26">
    <w:abstractNumId w:val="7"/>
  </w:num>
  <w:num w:numId="27">
    <w:abstractNumId w:val="7"/>
  </w:num>
  <w:num w:numId="28">
    <w:abstractNumId w:val="48"/>
  </w:num>
  <w:num w:numId="29">
    <w:abstractNumId w:val="7"/>
  </w:num>
  <w:num w:numId="30">
    <w:abstractNumId w:val="7"/>
  </w:num>
  <w:num w:numId="31">
    <w:abstractNumId w:val="35"/>
  </w:num>
  <w:num w:numId="32">
    <w:abstractNumId w:val="19"/>
  </w:num>
  <w:num w:numId="33">
    <w:abstractNumId w:val="3"/>
  </w:num>
  <w:num w:numId="34">
    <w:abstractNumId w:val="9"/>
  </w:num>
  <w:num w:numId="35">
    <w:abstractNumId w:val="13"/>
  </w:num>
  <w:num w:numId="36">
    <w:abstractNumId w:val="16"/>
  </w:num>
  <w:num w:numId="37">
    <w:abstractNumId w:val="7"/>
  </w:num>
  <w:num w:numId="38">
    <w:abstractNumId w:val="7"/>
  </w:num>
  <w:num w:numId="39">
    <w:abstractNumId w:val="29"/>
  </w:num>
  <w:num w:numId="40">
    <w:abstractNumId w:val="25"/>
  </w:num>
  <w:num w:numId="41">
    <w:abstractNumId w:val="0"/>
  </w:num>
  <w:num w:numId="42">
    <w:abstractNumId w:val="30"/>
  </w:num>
  <w:num w:numId="43">
    <w:abstractNumId w:val="14"/>
  </w:num>
  <w:num w:numId="44">
    <w:abstractNumId w:val="34"/>
  </w:num>
  <w:num w:numId="45">
    <w:abstractNumId w:val="47"/>
  </w:num>
  <w:num w:numId="46">
    <w:abstractNumId w:val="28"/>
  </w:num>
  <w:num w:numId="47">
    <w:abstractNumId w:val="17"/>
  </w:num>
  <w:num w:numId="48">
    <w:abstractNumId w:val="12"/>
  </w:num>
  <w:num w:numId="49">
    <w:abstractNumId w:val="6"/>
  </w:num>
  <w:num w:numId="50">
    <w:abstractNumId w:val="22"/>
  </w:num>
  <w:num w:numId="51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0"/>
  </w:num>
  <w:num w:numId="53">
    <w:abstractNumId w:val="8"/>
  </w:num>
  <w:num w:numId="54">
    <w:abstractNumId w:val="26"/>
  </w:num>
  <w:num w:numId="55">
    <w:abstractNumId w:val="46"/>
  </w:num>
  <w:num w:numId="56">
    <w:abstractNumId w:val="40"/>
  </w:num>
  <w:num w:numId="57">
    <w:abstractNumId w:val="27"/>
  </w:num>
  <w:num w:numId="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AC"/>
    <w:rsid w:val="000035D0"/>
    <w:rsid w:val="00004D04"/>
    <w:rsid w:val="00004DAC"/>
    <w:rsid w:val="00017641"/>
    <w:rsid w:val="00026846"/>
    <w:rsid w:val="00031B3E"/>
    <w:rsid w:val="000324E7"/>
    <w:rsid w:val="00034AAC"/>
    <w:rsid w:val="0005710A"/>
    <w:rsid w:val="00060D82"/>
    <w:rsid w:val="000610C2"/>
    <w:rsid w:val="0006485A"/>
    <w:rsid w:val="00070CCF"/>
    <w:rsid w:val="00073040"/>
    <w:rsid w:val="000762B7"/>
    <w:rsid w:val="00086EFC"/>
    <w:rsid w:val="00091F80"/>
    <w:rsid w:val="00093797"/>
    <w:rsid w:val="000950FB"/>
    <w:rsid w:val="00097F59"/>
    <w:rsid w:val="000B10F1"/>
    <w:rsid w:val="000B55EB"/>
    <w:rsid w:val="000B679D"/>
    <w:rsid w:val="000C06BC"/>
    <w:rsid w:val="000C6536"/>
    <w:rsid w:val="000D0AF3"/>
    <w:rsid w:val="000D3526"/>
    <w:rsid w:val="000D5BA0"/>
    <w:rsid w:val="000E4749"/>
    <w:rsid w:val="000E495D"/>
    <w:rsid w:val="000E5E51"/>
    <w:rsid w:val="000E7EE4"/>
    <w:rsid w:val="000F6728"/>
    <w:rsid w:val="000F769C"/>
    <w:rsid w:val="00100635"/>
    <w:rsid w:val="00100BA3"/>
    <w:rsid w:val="00114B22"/>
    <w:rsid w:val="0011732E"/>
    <w:rsid w:val="00125927"/>
    <w:rsid w:val="00130E20"/>
    <w:rsid w:val="00131A2E"/>
    <w:rsid w:val="00131D67"/>
    <w:rsid w:val="001329F9"/>
    <w:rsid w:val="00133C2A"/>
    <w:rsid w:val="001346F4"/>
    <w:rsid w:val="001377AB"/>
    <w:rsid w:val="00145449"/>
    <w:rsid w:val="0014613B"/>
    <w:rsid w:val="001531F6"/>
    <w:rsid w:val="001533E4"/>
    <w:rsid w:val="0015455A"/>
    <w:rsid w:val="00154C74"/>
    <w:rsid w:val="0015553E"/>
    <w:rsid w:val="001561B6"/>
    <w:rsid w:val="00162A3D"/>
    <w:rsid w:val="00164F8C"/>
    <w:rsid w:val="001659F7"/>
    <w:rsid w:val="001778F5"/>
    <w:rsid w:val="00180875"/>
    <w:rsid w:val="00181328"/>
    <w:rsid w:val="00183050"/>
    <w:rsid w:val="00185BB3"/>
    <w:rsid w:val="001861FC"/>
    <w:rsid w:val="00186216"/>
    <w:rsid w:val="0018715D"/>
    <w:rsid w:val="0019195E"/>
    <w:rsid w:val="00193D29"/>
    <w:rsid w:val="001940BB"/>
    <w:rsid w:val="00195D73"/>
    <w:rsid w:val="001975E4"/>
    <w:rsid w:val="001A0AE7"/>
    <w:rsid w:val="001A1BF5"/>
    <w:rsid w:val="001A5595"/>
    <w:rsid w:val="001A5656"/>
    <w:rsid w:val="001B0665"/>
    <w:rsid w:val="001B07A3"/>
    <w:rsid w:val="001B1174"/>
    <w:rsid w:val="001B6AD9"/>
    <w:rsid w:val="001C3D9E"/>
    <w:rsid w:val="001C4C83"/>
    <w:rsid w:val="001C50A6"/>
    <w:rsid w:val="001D2A86"/>
    <w:rsid w:val="001E3682"/>
    <w:rsid w:val="001E3F18"/>
    <w:rsid w:val="001E3FB6"/>
    <w:rsid w:val="001E4365"/>
    <w:rsid w:val="001F03F4"/>
    <w:rsid w:val="001F04BF"/>
    <w:rsid w:val="001F35C6"/>
    <w:rsid w:val="00205A51"/>
    <w:rsid w:val="00206B04"/>
    <w:rsid w:val="00207D0A"/>
    <w:rsid w:val="00207E0C"/>
    <w:rsid w:val="002124F7"/>
    <w:rsid w:val="00213BE6"/>
    <w:rsid w:val="0021439A"/>
    <w:rsid w:val="00216075"/>
    <w:rsid w:val="00217B73"/>
    <w:rsid w:val="00220A4A"/>
    <w:rsid w:val="002219D9"/>
    <w:rsid w:val="00223BD8"/>
    <w:rsid w:val="002264C8"/>
    <w:rsid w:val="002274C5"/>
    <w:rsid w:val="00230406"/>
    <w:rsid w:val="0023579D"/>
    <w:rsid w:val="002372E4"/>
    <w:rsid w:val="00242A2B"/>
    <w:rsid w:val="00245B1C"/>
    <w:rsid w:val="00246E8D"/>
    <w:rsid w:val="00255BC4"/>
    <w:rsid w:val="00257EF5"/>
    <w:rsid w:val="00261047"/>
    <w:rsid w:val="0026326A"/>
    <w:rsid w:val="00263BC7"/>
    <w:rsid w:val="00264B56"/>
    <w:rsid w:val="0027142D"/>
    <w:rsid w:val="00284087"/>
    <w:rsid w:val="002877F9"/>
    <w:rsid w:val="002A0E2D"/>
    <w:rsid w:val="002B1252"/>
    <w:rsid w:val="002B13D1"/>
    <w:rsid w:val="002B1A57"/>
    <w:rsid w:val="002B1A68"/>
    <w:rsid w:val="002B5922"/>
    <w:rsid w:val="002B786B"/>
    <w:rsid w:val="002C4DF4"/>
    <w:rsid w:val="002D243E"/>
    <w:rsid w:val="002D2CB7"/>
    <w:rsid w:val="002D5040"/>
    <w:rsid w:val="002D7357"/>
    <w:rsid w:val="002D77EC"/>
    <w:rsid w:val="002F72B7"/>
    <w:rsid w:val="003013AA"/>
    <w:rsid w:val="00301597"/>
    <w:rsid w:val="00303A6D"/>
    <w:rsid w:val="00310340"/>
    <w:rsid w:val="0031047E"/>
    <w:rsid w:val="0031257E"/>
    <w:rsid w:val="00313766"/>
    <w:rsid w:val="00321D6B"/>
    <w:rsid w:val="003236B3"/>
    <w:rsid w:val="00334076"/>
    <w:rsid w:val="00335D79"/>
    <w:rsid w:val="00335E5B"/>
    <w:rsid w:val="00335E68"/>
    <w:rsid w:val="00340A21"/>
    <w:rsid w:val="003440E4"/>
    <w:rsid w:val="00353A4D"/>
    <w:rsid w:val="00357BB0"/>
    <w:rsid w:val="00363CD0"/>
    <w:rsid w:val="00371188"/>
    <w:rsid w:val="00372F3F"/>
    <w:rsid w:val="00382E0F"/>
    <w:rsid w:val="00392234"/>
    <w:rsid w:val="00392E74"/>
    <w:rsid w:val="0039503F"/>
    <w:rsid w:val="00396A11"/>
    <w:rsid w:val="003A2242"/>
    <w:rsid w:val="003A3D9C"/>
    <w:rsid w:val="003B15F9"/>
    <w:rsid w:val="003C2368"/>
    <w:rsid w:val="003C6C95"/>
    <w:rsid w:val="003D094F"/>
    <w:rsid w:val="003D1111"/>
    <w:rsid w:val="003D15EB"/>
    <w:rsid w:val="003D1970"/>
    <w:rsid w:val="003D3AD0"/>
    <w:rsid w:val="003D64E6"/>
    <w:rsid w:val="003E0B00"/>
    <w:rsid w:val="003E1251"/>
    <w:rsid w:val="003E6055"/>
    <w:rsid w:val="003F3CE6"/>
    <w:rsid w:val="00411650"/>
    <w:rsid w:val="004127C9"/>
    <w:rsid w:val="004140D0"/>
    <w:rsid w:val="004143AB"/>
    <w:rsid w:val="0041577A"/>
    <w:rsid w:val="00417F37"/>
    <w:rsid w:val="00422D71"/>
    <w:rsid w:val="0042595E"/>
    <w:rsid w:val="00425988"/>
    <w:rsid w:val="004341C2"/>
    <w:rsid w:val="00435685"/>
    <w:rsid w:val="00435CD6"/>
    <w:rsid w:val="00436CC5"/>
    <w:rsid w:val="004370FD"/>
    <w:rsid w:val="004373C9"/>
    <w:rsid w:val="0044047F"/>
    <w:rsid w:val="004439C6"/>
    <w:rsid w:val="00443B05"/>
    <w:rsid w:val="00451720"/>
    <w:rsid w:val="0045286A"/>
    <w:rsid w:val="00452E2F"/>
    <w:rsid w:val="00455E1E"/>
    <w:rsid w:val="00455E4A"/>
    <w:rsid w:val="0046062B"/>
    <w:rsid w:val="00465402"/>
    <w:rsid w:val="00466D68"/>
    <w:rsid w:val="00474A6D"/>
    <w:rsid w:val="0047522E"/>
    <w:rsid w:val="0048125E"/>
    <w:rsid w:val="00491023"/>
    <w:rsid w:val="004913EF"/>
    <w:rsid w:val="004922BB"/>
    <w:rsid w:val="00496C58"/>
    <w:rsid w:val="004A1775"/>
    <w:rsid w:val="004A265C"/>
    <w:rsid w:val="004A474F"/>
    <w:rsid w:val="004A7A5F"/>
    <w:rsid w:val="004B36C1"/>
    <w:rsid w:val="004B6E15"/>
    <w:rsid w:val="004B7B19"/>
    <w:rsid w:val="004B7FA6"/>
    <w:rsid w:val="004C07BA"/>
    <w:rsid w:val="004C3CF4"/>
    <w:rsid w:val="004C7BDB"/>
    <w:rsid w:val="004C7E0A"/>
    <w:rsid w:val="004D3C93"/>
    <w:rsid w:val="004E02DE"/>
    <w:rsid w:val="004E3447"/>
    <w:rsid w:val="004E4F0E"/>
    <w:rsid w:val="004E6A1B"/>
    <w:rsid w:val="004E732B"/>
    <w:rsid w:val="004E7752"/>
    <w:rsid w:val="004F1B65"/>
    <w:rsid w:val="004F7588"/>
    <w:rsid w:val="00502511"/>
    <w:rsid w:val="00513F4D"/>
    <w:rsid w:val="00523AB4"/>
    <w:rsid w:val="00523FFE"/>
    <w:rsid w:val="00531A61"/>
    <w:rsid w:val="0053468C"/>
    <w:rsid w:val="0054132C"/>
    <w:rsid w:val="00541838"/>
    <w:rsid w:val="00542891"/>
    <w:rsid w:val="00543269"/>
    <w:rsid w:val="00551DA7"/>
    <w:rsid w:val="00555AE3"/>
    <w:rsid w:val="00557919"/>
    <w:rsid w:val="00560CC3"/>
    <w:rsid w:val="00562CF9"/>
    <w:rsid w:val="00563606"/>
    <w:rsid w:val="005675C2"/>
    <w:rsid w:val="0057107B"/>
    <w:rsid w:val="005711C6"/>
    <w:rsid w:val="0057567C"/>
    <w:rsid w:val="00580C05"/>
    <w:rsid w:val="00582F77"/>
    <w:rsid w:val="00591FBB"/>
    <w:rsid w:val="00592042"/>
    <w:rsid w:val="00596062"/>
    <w:rsid w:val="005968AC"/>
    <w:rsid w:val="005A3E50"/>
    <w:rsid w:val="005B113D"/>
    <w:rsid w:val="005B1789"/>
    <w:rsid w:val="005B30BE"/>
    <w:rsid w:val="005B3675"/>
    <w:rsid w:val="005B4480"/>
    <w:rsid w:val="005B4C63"/>
    <w:rsid w:val="005B588F"/>
    <w:rsid w:val="005B6B23"/>
    <w:rsid w:val="005D0D6C"/>
    <w:rsid w:val="005D47F2"/>
    <w:rsid w:val="005D5654"/>
    <w:rsid w:val="005E5E04"/>
    <w:rsid w:val="006009F5"/>
    <w:rsid w:val="0060569B"/>
    <w:rsid w:val="006077BF"/>
    <w:rsid w:val="00612E95"/>
    <w:rsid w:val="00613630"/>
    <w:rsid w:val="00614519"/>
    <w:rsid w:val="00623EA2"/>
    <w:rsid w:val="00631A3E"/>
    <w:rsid w:val="00633EED"/>
    <w:rsid w:val="00636734"/>
    <w:rsid w:val="00637071"/>
    <w:rsid w:val="0064482E"/>
    <w:rsid w:val="00654B4D"/>
    <w:rsid w:val="00655E65"/>
    <w:rsid w:val="00657EBD"/>
    <w:rsid w:val="00665E8F"/>
    <w:rsid w:val="006723A0"/>
    <w:rsid w:val="00674D3A"/>
    <w:rsid w:val="00677211"/>
    <w:rsid w:val="0068092B"/>
    <w:rsid w:val="0068714C"/>
    <w:rsid w:val="00696F6E"/>
    <w:rsid w:val="006A03EA"/>
    <w:rsid w:val="006A24C2"/>
    <w:rsid w:val="006A2B58"/>
    <w:rsid w:val="006A3ABA"/>
    <w:rsid w:val="006A3C60"/>
    <w:rsid w:val="006B0602"/>
    <w:rsid w:val="006B2FA9"/>
    <w:rsid w:val="006B486A"/>
    <w:rsid w:val="006B5253"/>
    <w:rsid w:val="006C0AD0"/>
    <w:rsid w:val="006C16E4"/>
    <w:rsid w:val="006C3664"/>
    <w:rsid w:val="006C53C5"/>
    <w:rsid w:val="006C5A51"/>
    <w:rsid w:val="006D042F"/>
    <w:rsid w:val="006E029C"/>
    <w:rsid w:val="006E0764"/>
    <w:rsid w:val="006E62C4"/>
    <w:rsid w:val="006F274A"/>
    <w:rsid w:val="006F5BC0"/>
    <w:rsid w:val="00701CFB"/>
    <w:rsid w:val="0070750D"/>
    <w:rsid w:val="00713B5E"/>
    <w:rsid w:val="00714BD5"/>
    <w:rsid w:val="007202EF"/>
    <w:rsid w:val="00722857"/>
    <w:rsid w:val="00726E5B"/>
    <w:rsid w:val="00732D42"/>
    <w:rsid w:val="0073725E"/>
    <w:rsid w:val="00741A5C"/>
    <w:rsid w:val="00741ED6"/>
    <w:rsid w:val="00746EF3"/>
    <w:rsid w:val="00761F80"/>
    <w:rsid w:val="00764352"/>
    <w:rsid w:val="00765809"/>
    <w:rsid w:val="00770DDC"/>
    <w:rsid w:val="007829E2"/>
    <w:rsid w:val="00783A22"/>
    <w:rsid w:val="00797E3D"/>
    <w:rsid w:val="007B4E40"/>
    <w:rsid w:val="007B5F49"/>
    <w:rsid w:val="007C0392"/>
    <w:rsid w:val="007C19AC"/>
    <w:rsid w:val="007C44D3"/>
    <w:rsid w:val="007C53F3"/>
    <w:rsid w:val="007C7A88"/>
    <w:rsid w:val="007D5B6F"/>
    <w:rsid w:val="007E3785"/>
    <w:rsid w:val="007F311E"/>
    <w:rsid w:val="007F4854"/>
    <w:rsid w:val="00806D8F"/>
    <w:rsid w:val="00806DF5"/>
    <w:rsid w:val="008132E4"/>
    <w:rsid w:val="0081430B"/>
    <w:rsid w:val="00820ED2"/>
    <w:rsid w:val="00834E0C"/>
    <w:rsid w:val="00835D42"/>
    <w:rsid w:val="00840A6D"/>
    <w:rsid w:val="0084123D"/>
    <w:rsid w:val="0084735D"/>
    <w:rsid w:val="00847B12"/>
    <w:rsid w:val="008500B7"/>
    <w:rsid w:val="0085119C"/>
    <w:rsid w:val="0085452B"/>
    <w:rsid w:val="00857A47"/>
    <w:rsid w:val="008636D5"/>
    <w:rsid w:val="00867A65"/>
    <w:rsid w:val="00870D9E"/>
    <w:rsid w:val="00871561"/>
    <w:rsid w:val="008744E2"/>
    <w:rsid w:val="008755E8"/>
    <w:rsid w:val="00875827"/>
    <w:rsid w:val="00876828"/>
    <w:rsid w:val="00880178"/>
    <w:rsid w:val="0088138C"/>
    <w:rsid w:val="00887286"/>
    <w:rsid w:val="0089013E"/>
    <w:rsid w:val="00896FE0"/>
    <w:rsid w:val="008A37FA"/>
    <w:rsid w:val="008A6C9B"/>
    <w:rsid w:val="008B0711"/>
    <w:rsid w:val="008B3A54"/>
    <w:rsid w:val="008B3EC3"/>
    <w:rsid w:val="008B5684"/>
    <w:rsid w:val="008C5D22"/>
    <w:rsid w:val="008D00C9"/>
    <w:rsid w:val="008D1573"/>
    <w:rsid w:val="008D23F3"/>
    <w:rsid w:val="008D3A94"/>
    <w:rsid w:val="008D4A84"/>
    <w:rsid w:val="008D7777"/>
    <w:rsid w:val="008E6350"/>
    <w:rsid w:val="008F597A"/>
    <w:rsid w:val="008F5C8D"/>
    <w:rsid w:val="00903B9E"/>
    <w:rsid w:val="00903C47"/>
    <w:rsid w:val="00904CE3"/>
    <w:rsid w:val="00906A19"/>
    <w:rsid w:val="009152C0"/>
    <w:rsid w:val="009157B8"/>
    <w:rsid w:val="009207F1"/>
    <w:rsid w:val="00922685"/>
    <w:rsid w:val="00923685"/>
    <w:rsid w:val="00925B88"/>
    <w:rsid w:val="0092669C"/>
    <w:rsid w:val="009321A1"/>
    <w:rsid w:val="00932FA2"/>
    <w:rsid w:val="00933E21"/>
    <w:rsid w:val="00934751"/>
    <w:rsid w:val="009648F9"/>
    <w:rsid w:val="009660CD"/>
    <w:rsid w:val="00967756"/>
    <w:rsid w:val="00974C26"/>
    <w:rsid w:val="009861C0"/>
    <w:rsid w:val="00994348"/>
    <w:rsid w:val="00996FF3"/>
    <w:rsid w:val="00997636"/>
    <w:rsid w:val="009A22A3"/>
    <w:rsid w:val="009A3D8D"/>
    <w:rsid w:val="009A5154"/>
    <w:rsid w:val="009B1AE4"/>
    <w:rsid w:val="009B708B"/>
    <w:rsid w:val="009C44B2"/>
    <w:rsid w:val="009C4F28"/>
    <w:rsid w:val="009C4FD1"/>
    <w:rsid w:val="009C5E38"/>
    <w:rsid w:val="009C636A"/>
    <w:rsid w:val="009D2245"/>
    <w:rsid w:val="009E0109"/>
    <w:rsid w:val="009E1EB7"/>
    <w:rsid w:val="009E4327"/>
    <w:rsid w:val="009E5D9A"/>
    <w:rsid w:val="009F5BE9"/>
    <w:rsid w:val="00A240A2"/>
    <w:rsid w:val="00A30CB5"/>
    <w:rsid w:val="00A32FB3"/>
    <w:rsid w:val="00A366D6"/>
    <w:rsid w:val="00A46C7D"/>
    <w:rsid w:val="00A52567"/>
    <w:rsid w:val="00A526E4"/>
    <w:rsid w:val="00A52B39"/>
    <w:rsid w:val="00A53DAE"/>
    <w:rsid w:val="00A662D1"/>
    <w:rsid w:val="00A66C3A"/>
    <w:rsid w:val="00A6785A"/>
    <w:rsid w:val="00A75434"/>
    <w:rsid w:val="00A76821"/>
    <w:rsid w:val="00A81153"/>
    <w:rsid w:val="00A8299A"/>
    <w:rsid w:val="00A83810"/>
    <w:rsid w:val="00A8520E"/>
    <w:rsid w:val="00A86263"/>
    <w:rsid w:val="00A933EF"/>
    <w:rsid w:val="00A96A74"/>
    <w:rsid w:val="00AA2A61"/>
    <w:rsid w:val="00AB060C"/>
    <w:rsid w:val="00AB0793"/>
    <w:rsid w:val="00AB5555"/>
    <w:rsid w:val="00AB62C7"/>
    <w:rsid w:val="00AC1E82"/>
    <w:rsid w:val="00AD0C48"/>
    <w:rsid w:val="00AD16B9"/>
    <w:rsid w:val="00AD1CEE"/>
    <w:rsid w:val="00AD35CB"/>
    <w:rsid w:val="00AD46F2"/>
    <w:rsid w:val="00AD7FED"/>
    <w:rsid w:val="00AE2856"/>
    <w:rsid w:val="00AE3704"/>
    <w:rsid w:val="00AF2634"/>
    <w:rsid w:val="00AF2AEE"/>
    <w:rsid w:val="00AF2DE1"/>
    <w:rsid w:val="00B02268"/>
    <w:rsid w:val="00B036C4"/>
    <w:rsid w:val="00B03B64"/>
    <w:rsid w:val="00B03F11"/>
    <w:rsid w:val="00B14C93"/>
    <w:rsid w:val="00B15DE7"/>
    <w:rsid w:val="00B1795D"/>
    <w:rsid w:val="00B20186"/>
    <w:rsid w:val="00B21965"/>
    <w:rsid w:val="00B22997"/>
    <w:rsid w:val="00B22B94"/>
    <w:rsid w:val="00B23018"/>
    <w:rsid w:val="00B24D05"/>
    <w:rsid w:val="00B27E33"/>
    <w:rsid w:val="00B368A7"/>
    <w:rsid w:val="00B36A6A"/>
    <w:rsid w:val="00B40F7D"/>
    <w:rsid w:val="00B4502B"/>
    <w:rsid w:val="00B4754F"/>
    <w:rsid w:val="00B54B13"/>
    <w:rsid w:val="00B57769"/>
    <w:rsid w:val="00B7263F"/>
    <w:rsid w:val="00B85EEA"/>
    <w:rsid w:val="00B90891"/>
    <w:rsid w:val="00B909C1"/>
    <w:rsid w:val="00B90FE6"/>
    <w:rsid w:val="00B94F6A"/>
    <w:rsid w:val="00B96128"/>
    <w:rsid w:val="00BA28A6"/>
    <w:rsid w:val="00BB2771"/>
    <w:rsid w:val="00BC42A4"/>
    <w:rsid w:val="00BC5069"/>
    <w:rsid w:val="00BC54CE"/>
    <w:rsid w:val="00BC78CA"/>
    <w:rsid w:val="00BD7A7D"/>
    <w:rsid w:val="00BE3F7B"/>
    <w:rsid w:val="00BF1089"/>
    <w:rsid w:val="00BF3F51"/>
    <w:rsid w:val="00BF6350"/>
    <w:rsid w:val="00C00E67"/>
    <w:rsid w:val="00C01969"/>
    <w:rsid w:val="00C02197"/>
    <w:rsid w:val="00C03410"/>
    <w:rsid w:val="00C04BBE"/>
    <w:rsid w:val="00C04F41"/>
    <w:rsid w:val="00C06439"/>
    <w:rsid w:val="00C068CB"/>
    <w:rsid w:val="00C11A46"/>
    <w:rsid w:val="00C13742"/>
    <w:rsid w:val="00C15D41"/>
    <w:rsid w:val="00C2510E"/>
    <w:rsid w:val="00C27577"/>
    <w:rsid w:val="00C27B6E"/>
    <w:rsid w:val="00C343B8"/>
    <w:rsid w:val="00C40376"/>
    <w:rsid w:val="00C41366"/>
    <w:rsid w:val="00C42EB1"/>
    <w:rsid w:val="00C4632F"/>
    <w:rsid w:val="00C54152"/>
    <w:rsid w:val="00C549B8"/>
    <w:rsid w:val="00C54D65"/>
    <w:rsid w:val="00C64B7B"/>
    <w:rsid w:val="00C66954"/>
    <w:rsid w:val="00C66DD9"/>
    <w:rsid w:val="00C70FE8"/>
    <w:rsid w:val="00C821B3"/>
    <w:rsid w:val="00C82A52"/>
    <w:rsid w:val="00C86A8E"/>
    <w:rsid w:val="00C86DFE"/>
    <w:rsid w:val="00C87D49"/>
    <w:rsid w:val="00C9093E"/>
    <w:rsid w:val="00C91A32"/>
    <w:rsid w:val="00C92AD1"/>
    <w:rsid w:val="00C97368"/>
    <w:rsid w:val="00CA1713"/>
    <w:rsid w:val="00CA7C72"/>
    <w:rsid w:val="00CB565C"/>
    <w:rsid w:val="00CB63B9"/>
    <w:rsid w:val="00CD65FB"/>
    <w:rsid w:val="00CE011D"/>
    <w:rsid w:val="00CE37B7"/>
    <w:rsid w:val="00CE7B1F"/>
    <w:rsid w:val="00D03B18"/>
    <w:rsid w:val="00D0441E"/>
    <w:rsid w:val="00D06D3A"/>
    <w:rsid w:val="00D06F09"/>
    <w:rsid w:val="00D24157"/>
    <w:rsid w:val="00D25D94"/>
    <w:rsid w:val="00D40E6E"/>
    <w:rsid w:val="00D415E7"/>
    <w:rsid w:val="00D46938"/>
    <w:rsid w:val="00D47A03"/>
    <w:rsid w:val="00D54668"/>
    <w:rsid w:val="00D556D0"/>
    <w:rsid w:val="00D6132B"/>
    <w:rsid w:val="00D62712"/>
    <w:rsid w:val="00D6291C"/>
    <w:rsid w:val="00D64F44"/>
    <w:rsid w:val="00D67005"/>
    <w:rsid w:val="00D70C2E"/>
    <w:rsid w:val="00D7529B"/>
    <w:rsid w:val="00D752C6"/>
    <w:rsid w:val="00D77553"/>
    <w:rsid w:val="00D8075D"/>
    <w:rsid w:val="00D80917"/>
    <w:rsid w:val="00D813AE"/>
    <w:rsid w:val="00D82383"/>
    <w:rsid w:val="00D8572D"/>
    <w:rsid w:val="00D86990"/>
    <w:rsid w:val="00D87220"/>
    <w:rsid w:val="00D90CA5"/>
    <w:rsid w:val="00D91557"/>
    <w:rsid w:val="00D91D08"/>
    <w:rsid w:val="00D91DD5"/>
    <w:rsid w:val="00D91F18"/>
    <w:rsid w:val="00D951EE"/>
    <w:rsid w:val="00DA2CCC"/>
    <w:rsid w:val="00DA539B"/>
    <w:rsid w:val="00DA6F33"/>
    <w:rsid w:val="00DB1694"/>
    <w:rsid w:val="00DB2620"/>
    <w:rsid w:val="00DB529A"/>
    <w:rsid w:val="00DC0224"/>
    <w:rsid w:val="00DD0F58"/>
    <w:rsid w:val="00DD1493"/>
    <w:rsid w:val="00DD1D60"/>
    <w:rsid w:val="00DD54B1"/>
    <w:rsid w:val="00DD63DD"/>
    <w:rsid w:val="00DE11F3"/>
    <w:rsid w:val="00DE1F55"/>
    <w:rsid w:val="00DE326A"/>
    <w:rsid w:val="00DE38F7"/>
    <w:rsid w:val="00DE72C9"/>
    <w:rsid w:val="00DF1A62"/>
    <w:rsid w:val="00DF6BB8"/>
    <w:rsid w:val="00E00DDE"/>
    <w:rsid w:val="00E0104C"/>
    <w:rsid w:val="00E01BD1"/>
    <w:rsid w:val="00E10E7B"/>
    <w:rsid w:val="00E11C21"/>
    <w:rsid w:val="00E12D0B"/>
    <w:rsid w:val="00E12F24"/>
    <w:rsid w:val="00E1572E"/>
    <w:rsid w:val="00E15CA7"/>
    <w:rsid w:val="00E17306"/>
    <w:rsid w:val="00E2006A"/>
    <w:rsid w:val="00E22932"/>
    <w:rsid w:val="00E22EC5"/>
    <w:rsid w:val="00E3059E"/>
    <w:rsid w:val="00E41A64"/>
    <w:rsid w:val="00E4201B"/>
    <w:rsid w:val="00E502F6"/>
    <w:rsid w:val="00E52DBC"/>
    <w:rsid w:val="00E6468B"/>
    <w:rsid w:val="00E71A2B"/>
    <w:rsid w:val="00E71BC6"/>
    <w:rsid w:val="00E73774"/>
    <w:rsid w:val="00E749D2"/>
    <w:rsid w:val="00E86B6D"/>
    <w:rsid w:val="00E86DB2"/>
    <w:rsid w:val="00E91F26"/>
    <w:rsid w:val="00E923E4"/>
    <w:rsid w:val="00EA5377"/>
    <w:rsid w:val="00EA579C"/>
    <w:rsid w:val="00EA7FE6"/>
    <w:rsid w:val="00EB1052"/>
    <w:rsid w:val="00EB5418"/>
    <w:rsid w:val="00EB76EB"/>
    <w:rsid w:val="00EC464F"/>
    <w:rsid w:val="00EC5933"/>
    <w:rsid w:val="00ED057A"/>
    <w:rsid w:val="00EE54A5"/>
    <w:rsid w:val="00EE7380"/>
    <w:rsid w:val="00EF1F7A"/>
    <w:rsid w:val="00EF2BB9"/>
    <w:rsid w:val="00EF62DD"/>
    <w:rsid w:val="00EF7E98"/>
    <w:rsid w:val="00F014F4"/>
    <w:rsid w:val="00F05ACB"/>
    <w:rsid w:val="00F11F02"/>
    <w:rsid w:val="00F12262"/>
    <w:rsid w:val="00F26128"/>
    <w:rsid w:val="00F37851"/>
    <w:rsid w:val="00F408C7"/>
    <w:rsid w:val="00F41718"/>
    <w:rsid w:val="00F421DF"/>
    <w:rsid w:val="00F444FC"/>
    <w:rsid w:val="00F457FF"/>
    <w:rsid w:val="00F47E3D"/>
    <w:rsid w:val="00F51F5A"/>
    <w:rsid w:val="00F52EF7"/>
    <w:rsid w:val="00F62C22"/>
    <w:rsid w:val="00F64335"/>
    <w:rsid w:val="00F75F74"/>
    <w:rsid w:val="00F80FD4"/>
    <w:rsid w:val="00F8366A"/>
    <w:rsid w:val="00F849A7"/>
    <w:rsid w:val="00F861FD"/>
    <w:rsid w:val="00F94030"/>
    <w:rsid w:val="00F94072"/>
    <w:rsid w:val="00F95373"/>
    <w:rsid w:val="00F96ABF"/>
    <w:rsid w:val="00FA267F"/>
    <w:rsid w:val="00FB4218"/>
    <w:rsid w:val="00FB7C97"/>
    <w:rsid w:val="00FC1151"/>
    <w:rsid w:val="00FC26FF"/>
    <w:rsid w:val="00FD5DDE"/>
    <w:rsid w:val="00FD79F1"/>
    <w:rsid w:val="00FE31A2"/>
    <w:rsid w:val="00FE54AD"/>
    <w:rsid w:val="00FF30CB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18946"/>
  <w15:docId w15:val="{69E3755A-4892-4651-B4DE-0D9B99FC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6BB8"/>
    <w:pPr>
      <w:spacing w:before="240" w:after="240" w:line="276" w:lineRule="auto"/>
      <w:jc w:val="both"/>
    </w:pPr>
    <w:rPr>
      <w:rFonts w:asciiTheme="minorHAnsi" w:hAnsiTheme="minorHAnsi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0610C2"/>
    <w:pPr>
      <w:tabs>
        <w:tab w:val="left" w:pos="1320"/>
        <w:tab w:val="right" w:pos="9072"/>
      </w:tabs>
      <w:spacing w:before="840" w:after="840"/>
      <w:ind w:right="851"/>
      <w:jc w:val="right"/>
      <w:outlineLvl w:val="0"/>
    </w:pPr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64335"/>
    <w:pPr>
      <w:numPr>
        <w:numId w:val="1"/>
      </w:numPr>
      <w:pBdr>
        <w:bottom w:val="single" w:sz="4" w:space="1" w:color="C9E305"/>
      </w:pBdr>
      <w:spacing w:before="480" w:after="480"/>
      <w:jc w:val="left"/>
      <w:outlineLvl w:val="1"/>
    </w:pPr>
    <w:rPr>
      <w:sz w:val="3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unhideWhenUsed/>
    <w:qFormat/>
    <w:rsid w:val="00C27B6E"/>
    <w:pPr>
      <w:numPr>
        <w:ilvl w:val="1"/>
        <w:numId w:val="1"/>
      </w:numPr>
      <w:ind w:left="426"/>
      <w:jc w:val="left"/>
      <w:outlineLvl w:val="2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22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DAC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04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DAC"/>
    <w:rPr>
      <w:rFonts w:ascii="Arial" w:hAnsi="Arial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0610C2"/>
    <w:rPr>
      <w:rFonts w:asciiTheme="minorHAnsi" w:hAnsiTheme="minorHAnsi" w:cs="Arial"/>
      <w:b/>
      <w:caps/>
      <w:color w:val="C9E305"/>
      <w:sz w:val="40"/>
      <w:szCs w:val="40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64335"/>
    <w:rPr>
      <w:rFonts w:asciiTheme="minorHAnsi" w:hAnsiTheme="minorHAnsi" w:cs="Arial"/>
      <w:b/>
      <w:caps/>
      <w:color w:val="C9E305"/>
      <w:sz w:val="36"/>
      <w:szCs w:val="4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C6536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523FFE"/>
    <w:pPr>
      <w:tabs>
        <w:tab w:val="left" w:pos="660"/>
        <w:tab w:val="left" w:pos="709"/>
        <w:tab w:val="right" w:leader="dot" w:pos="9062"/>
      </w:tabs>
      <w:spacing w:after="100"/>
    </w:pPr>
  </w:style>
  <w:style w:type="paragraph" w:styleId="Odstavecseseznamem">
    <w:name w:val="List Paragraph"/>
    <w:aliases w:val="Nad,Odstavec cíl se seznamem,Odstavec se seznamem5,Odstavec_muj,Odrážky,Heading 2_sj,Report Para,Dot pt,Numbered Para 1,No Spacing1,List Paragraph Char Char Char,Indicator Text,List Paragraph1,Bullet Points"/>
    <w:basedOn w:val="Normln"/>
    <w:link w:val="OdstavecseseznamemChar"/>
    <w:uiPriority w:val="34"/>
    <w:qFormat/>
    <w:rsid w:val="00D64F4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C27B6E"/>
    <w:rPr>
      <w:rFonts w:asciiTheme="minorHAnsi" w:hAnsiTheme="minorHAnsi"/>
      <w:b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BF6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3">
    <w:name w:val="Light Shading Accent 3"/>
    <w:basedOn w:val="Normlntabulka"/>
    <w:uiPriority w:val="60"/>
    <w:rsid w:val="00B4754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ezmezer">
    <w:name w:val="No Spacing"/>
    <w:aliases w:val="a)b)c)d)"/>
    <w:basedOn w:val="Odstavecseseznamem"/>
    <w:uiPriority w:val="1"/>
    <w:qFormat/>
    <w:rsid w:val="00542891"/>
    <w:pPr>
      <w:numPr>
        <w:numId w:val="2"/>
      </w:numPr>
      <w:contextualSpacing w:val="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D224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locked/>
    <w:rsid w:val="009D2245"/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rsid w:val="009D2245"/>
    <w:pPr>
      <w:spacing w:before="0" w:after="0" w:line="240" w:lineRule="auto"/>
    </w:pPr>
    <w:rPr>
      <w:rFonts w:ascii="Arial" w:hAnsi="Arial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D2245"/>
    <w:rPr>
      <w:rFonts w:asciiTheme="minorHAnsi" w:hAnsiTheme="minorHAns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E011D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46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6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613B"/>
    <w:rPr>
      <w:rFonts w:asciiTheme="minorHAnsi" w:hAnsiTheme="minorHAns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13B"/>
    <w:rPr>
      <w:rFonts w:asciiTheme="minorHAnsi" w:hAnsiTheme="minorHAns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1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13B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DE72C9"/>
    <w:pPr>
      <w:spacing w:before="120" w:after="120" w:line="240" w:lineRule="auto"/>
      <w:ind w:left="880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DE72C9"/>
    <w:rPr>
      <w:rFonts w:ascii="Times New Roman" w:eastAsia="SimSun" w:hAnsi="Times New Roman"/>
      <w:sz w:val="22"/>
      <w:lang w:eastAsia="en-US"/>
    </w:rPr>
  </w:style>
  <w:style w:type="paragraph" w:customStyle="1" w:styleId="Textodstavce">
    <w:name w:val="Text odstavce"/>
    <w:basedOn w:val="Normln"/>
    <w:rsid w:val="009321A1"/>
    <w:pPr>
      <w:numPr>
        <w:ilvl w:val="6"/>
        <w:numId w:val="3"/>
      </w:numPr>
      <w:tabs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9321A1"/>
    <w:pPr>
      <w:numPr>
        <w:ilvl w:val="8"/>
        <w:numId w:val="3"/>
      </w:numPr>
      <w:spacing w:before="0" w:after="0"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321A1"/>
    <w:pPr>
      <w:numPr>
        <w:ilvl w:val="7"/>
        <w:numId w:val="3"/>
      </w:numPr>
      <w:spacing w:before="0"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2EB1"/>
    <w:rPr>
      <w:vertAlign w:val="superscript"/>
    </w:rPr>
  </w:style>
  <w:style w:type="paragraph" w:customStyle="1" w:styleId="ABCbullets">
    <w:name w:val="ABC bullets"/>
    <w:basedOn w:val="Normln"/>
    <w:autoRedefine/>
    <w:rsid w:val="00B1795D"/>
    <w:pPr>
      <w:numPr>
        <w:numId w:val="8"/>
      </w:numPr>
      <w:autoSpaceDE w:val="0"/>
      <w:autoSpaceDN w:val="0"/>
      <w:adjustRightInd w:val="0"/>
      <w:spacing w:before="0" w:after="0" w:line="240" w:lineRule="auto"/>
    </w:pPr>
    <w:rPr>
      <w:rFonts w:ascii="Calibri" w:eastAsia="Times New Roman" w:hAnsi="Calibri"/>
      <w:b/>
      <w:szCs w:val="24"/>
      <w:u w:val="single"/>
      <w:lang w:eastAsia="cs-CZ"/>
    </w:rPr>
  </w:style>
  <w:style w:type="paragraph" w:customStyle="1" w:styleId="BulletsL1">
    <w:name w:val="Bullets L1"/>
    <w:basedOn w:val="Normln"/>
    <w:autoRedefine/>
    <w:rsid w:val="00B1795D"/>
    <w:pPr>
      <w:numPr>
        <w:ilvl w:val="1"/>
        <w:numId w:val="8"/>
      </w:numPr>
      <w:tabs>
        <w:tab w:val="left" w:pos="708"/>
      </w:tabs>
      <w:autoSpaceDE w:val="0"/>
      <w:autoSpaceDN w:val="0"/>
      <w:adjustRightInd w:val="0"/>
      <w:spacing w:before="40" w:after="40" w:line="240" w:lineRule="auto"/>
      <w:ind w:left="493" w:right="113" w:hanging="360"/>
    </w:pPr>
    <w:rPr>
      <w:rFonts w:ascii="Calibri" w:eastAsia="Times New Roman" w:hAnsi="Calibri"/>
      <w:szCs w:val="24"/>
      <w:lang w:eastAsia="cs-CZ"/>
    </w:rPr>
  </w:style>
  <w:style w:type="paragraph" w:customStyle="1" w:styleId="Default">
    <w:name w:val="Default"/>
    <w:rsid w:val="006C53C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070CCF"/>
    <w:rPr>
      <w:color w:val="800080" w:themeColor="followed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3FFE"/>
    <w:pPr>
      <w:spacing w:before="120" w:after="120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523FFE"/>
    <w:rPr>
      <w:rFonts w:ascii="Arial" w:eastAsia="Times New Roman" w:hAnsi="Arial" w:cs="Arial"/>
    </w:rPr>
  </w:style>
  <w:style w:type="table" w:customStyle="1" w:styleId="TableGrid">
    <w:name w:val="TableGrid"/>
    <w:rsid w:val="00677211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ulkatext">
    <w:name w:val="Tabulka text"/>
    <w:link w:val="TabulkatextChar"/>
    <w:uiPriority w:val="6"/>
    <w:qFormat/>
    <w:rsid w:val="00677211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677211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styleId="Revize">
    <w:name w:val="Revision"/>
    <w:hidden/>
    <w:uiPriority w:val="99"/>
    <w:semiHidden/>
    <w:rsid w:val="009A5154"/>
    <w:rPr>
      <w:rFonts w:asciiTheme="minorHAnsi" w:hAnsiTheme="minorHAnsi"/>
      <w:sz w:val="22"/>
      <w:szCs w:val="22"/>
      <w:lang w:eastAsia="en-US"/>
    </w:rPr>
  </w:style>
  <w:style w:type="character" w:customStyle="1" w:styleId="Hyperlink1">
    <w:name w:val="Hyperlink.1"/>
    <w:basedOn w:val="Standardnpsmoodstavce"/>
    <w:rsid w:val="00435CD6"/>
    <w:rPr>
      <w:rFonts w:ascii="Calibri" w:eastAsia="Calibri" w:hAnsi="Calibri" w:cs="Calibri"/>
      <w:sz w:val="22"/>
      <w:szCs w:val="22"/>
    </w:rPr>
  </w:style>
  <w:style w:type="character" w:customStyle="1" w:styleId="dn">
    <w:name w:val="Žádný"/>
    <w:rsid w:val="00D7529B"/>
  </w:style>
  <w:style w:type="numbering" w:customStyle="1" w:styleId="Importovanstyl16">
    <w:name w:val="Importovaný styl 16"/>
    <w:rsid w:val="00D7529B"/>
    <w:pPr>
      <w:numPr>
        <w:numId w:val="46"/>
      </w:numPr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F03F4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Heading 2_sj Char,Report Para Char,Dot pt Char,Numbered Para 1 Char,No Spacing1 Char,List Paragraph Char Char Char Char"/>
    <w:basedOn w:val="Standardnpsmoodstavce"/>
    <w:link w:val="Odstavecseseznamem"/>
    <w:uiPriority w:val="34"/>
    <w:qFormat/>
    <w:locked/>
    <w:rsid w:val="00181328"/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1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azky.milevsko-mesto.cz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al@zivemilevsko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radosta@mesto-milevsko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sfcr.cz" TargetMode="External"/><Relationship Id="rId10" Type="http://schemas.openxmlformats.org/officeDocument/2006/relationships/hyperlink" Target="https://zakazky.milevsko-mesto.cz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esfcr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6A5D-3521-4183-8D5E-08AE28D1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4764</Words>
  <Characters>28110</Characters>
  <Application>Microsoft Office Word</Application>
  <DocSecurity>0</DocSecurity>
  <Lines>234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MZe ČR</Company>
  <LinksUpToDate>false</LinksUpToDate>
  <CharactersWithSpaces>32809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Lenka</dc:creator>
  <cp:lastModifiedBy>Víťa Král</cp:lastModifiedBy>
  <cp:revision>7</cp:revision>
  <cp:lastPrinted>2018-05-30T14:17:00Z</cp:lastPrinted>
  <dcterms:created xsi:type="dcterms:W3CDTF">2019-01-24T15:50:00Z</dcterms:created>
  <dcterms:modified xsi:type="dcterms:W3CDTF">2019-01-31T06:10:00Z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class="C0" owner="Svobodová Lenka" position="TopRight" marginX="0" marginY="0" classifiedOn="2019-01-24T14:05:10.36921</vt:lpwstr>
  </property>
  <property fmtid="{D5CDD505-2E9C-101B-9397-08002B2CF9AE}" pid="3" name="DocumentTagging.ClassificationMark.P01">
    <vt:lpwstr>42+01:00" showPrintedBy="false" showPrintDate="false" language="cs" ApplicationVersion="Microsoft Word, 14.0" addinVersion="5.10.5.33" template="CEZ"&gt;&lt;history bulk="false" class="Veřejné" code="C0" user="Kubata Václav" mappingVersion="1" date="2019-0</vt:lpwstr>
  </property>
  <property fmtid="{D5CDD505-2E9C-101B-9397-08002B2CF9AE}" pid="4" name="DocumentTagging.ClassificationMark.P02">
    <vt:lpwstr>1-24T14:05:10.3848427+01:00"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CEZ:CEZ:D</vt:lpwstr>
  </property>
</Properties>
</file>