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64D" w:rsidRDefault="00931414" w:rsidP="004C6E7A">
      <w:pPr>
        <w:pStyle w:val="Nadpis2"/>
        <w:rPr>
          <w:shd w:val="clear" w:color="auto" w:fill="FFFFFF"/>
        </w:rPr>
      </w:pPr>
      <w:r>
        <w:rPr>
          <w:shd w:val="clear" w:color="auto" w:fill="FFFFFF"/>
        </w:rPr>
        <w:t>Dopravní plánování ve vztahu k pěší dopravě</w:t>
      </w:r>
    </w:p>
    <w:p w:rsidR="00D06C18" w:rsidRDefault="00D06C18">
      <w:pPr>
        <w:rPr>
          <w:rFonts w:ascii="Arial" w:hAnsi="Arial" w:cs="Arial"/>
          <w:color w:val="000000"/>
          <w:sz w:val="19"/>
          <w:szCs w:val="19"/>
          <w:shd w:val="clear" w:color="auto" w:fill="FFFFFF"/>
        </w:rPr>
      </w:pPr>
    </w:p>
    <w:p w:rsidR="00D06C18" w:rsidRDefault="00D06C18" w:rsidP="00CA49E7">
      <w:pPr>
        <w:jc w:val="both"/>
      </w:pPr>
      <w:r w:rsidRPr="00D06C18">
        <w:rPr>
          <w:b/>
        </w:rPr>
        <w:t>Nemotorická doprava ve městech</w:t>
      </w:r>
      <w:r w:rsidRPr="00D06C18">
        <w:t xml:space="preserve"> </w:t>
      </w:r>
    </w:p>
    <w:p w:rsidR="00D06C18" w:rsidRDefault="00931414" w:rsidP="00CA49E7">
      <w:pPr>
        <w:jc w:val="both"/>
      </w:pPr>
      <w:r>
        <w:t xml:space="preserve">Pěší doprava je považována za přirozenou součást nemotorické dopravy a její frekvence je znatelná zejména v zastavěných oblastech ve městech, vesnicích či jinde tam, kde je soustředěno lidské úsilí. Právě v takovýchto zastavěných oblastech totiž dochází k cestám, které se převáženě odehrávají na krátkou vzdálenost. Spolu s dalším druhem nemotorické dopravy, kterou je cyklistická doprava, se řadí pěší doprava k ekologickým druhům dopravy. </w:t>
      </w:r>
      <w:r w:rsidRPr="00D06C18">
        <w:t>Proti</w:t>
      </w:r>
      <w:r>
        <w:t xml:space="preserve"> </w:t>
      </w:r>
      <w:r w:rsidRPr="00D06C18">
        <w:t>motoristické dopravě se vyznačují menšími prostorovými nároky a nepoškozují životní prostředí.</w:t>
      </w:r>
    </w:p>
    <w:p w:rsidR="00D06C18" w:rsidRDefault="00931414" w:rsidP="00CA49E7">
      <w:pPr>
        <w:jc w:val="both"/>
      </w:pPr>
      <w:r>
        <w:t>V České republice se</w:t>
      </w:r>
      <w:r w:rsidR="00761B69">
        <w:t xml:space="preserve"> standardizací komunikacemi pro pěší a jejich parametrů zabývá především Norma ČSN 73 6110 – projektování místních komunikací</w:t>
      </w:r>
      <w:r w:rsidR="00761B69" w:rsidRPr="00761B69">
        <w:t xml:space="preserve">. </w:t>
      </w:r>
      <w:r w:rsidR="00761B69">
        <w:t>Norma</w:t>
      </w:r>
      <w:r w:rsidR="00CA49E7">
        <w:t xml:space="preserve"> se přímo zabývá projektováním místních komunikací ve městě, sloužící pro motorovou i nemotorovou dopravu, a řadí je do několika kategorií (funkčních skupin). Obecně pro pěší dopravu ve městě slouží zejména komunikace skupiny D členěnou dále na dvě podskupiny. Skupina D1 definuje tzv.</w:t>
      </w:r>
      <w:r w:rsidR="00DB5362">
        <w:t xml:space="preserve"> </w:t>
      </w:r>
      <w:r w:rsidR="00CA49E7">
        <w:t xml:space="preserve">“pěší zónu“ a „obytnou zónu“, což jsou místní komunikace se smíšeným provozem motorové i nemotorové dopravy s danými pravidly. Skupina D2 definuje komunikace pro nemotorovou dopravu, které jsou plně segregovány od ostatních druhů dopravy (zejména stezky pro pěší). Norma dále </w:t>
      </w:r>
      <w:r w:rsidR="00761B69">
        <w:t>definuje</w:t>
      </w:r>
      <w:r w:rsidR="00761B69" w:rsidRPr="00761B69">
        <w:t xml:space="preserve"> </w:t>
      </w:r>
      <w:r w:rsidR="00D06C18" w:rsidRPr="00761B69">
        <w:t>pro pěší provoz v sídelních útvarech pásy pro pěší (chodníky, průchody, nadchody a podchody)</w:t>
      </w:r>
      <w:r w:rsidR="00CA49E7">
        <w:t xml:space="preserve">, které jsou povětšinou součástí </w:t>
      </w:r>
      <w:r w:rsidR="00DE3A45">
        <w:t xml:space="preserve">tzv. přidruženého dopravního prostoru při </w:t>
      </w:r>
      <w:r w:rsidR="00CA49E7">
        <w:t>pozemních komunikací</w:t>
      </w:r>
      <w:r w:rsidR="00DE3A45">
        <w:t>ch</w:t>
      </w:r>
      <w:r w:rsidR="00CA49E7">
        <w:t xml:space="preserve"> funkčních skupin B a C (sběrné a obslužné místní komunikace)</w:t>
      </w:r>
      <w:r w:rsidR="00D06C18" w:rsidRPr="00761B69">
        <w:t xml:space="preserve"> a na komunikacích mimo zástavbu krajnice nebo stezky pro pěší</w:t>
      </w:r>
      <w:r w:rsidR="00761B69">
        <w:t xml:space="preserve"> </w:t>
      </w:r>
      <w:r w:rsidR="00761B69">
        <w:rPr>
          <w:lang w:val="en-US"/>
        </w:rPr>
        <w:t>[1]</w:t>
      </w:r>
      <w:r w:rsidR="00D06C18" w:rsidRPr="00761B69">
        <w:t>.</w:t>
      </w:r>
    </w:p>
    <w:p w:rsidR="00E230E4" w:rsidRDefault="00E230E4" w:rsidP="00CA49E7">
      <w:pPr>
        <w:jc w:val="both"/>
      </w:pPr>
      <w:r>
        <w:t>Ovšem trasy pěších (trasy komunikací pro chodce)</w:t>
      </w:r>
      <w:r w:rsidR="00DE3A45">
        <w:t xml:space="preserve"> velmi často kříží komunikace pro motorovou dopravu, nehovoříme-li o pěší zóně, či obytné zóně, kde se chodci mohou pohybovat</w:t>
      </w:r>
      <w:r w:rsidR="00BD70D3">
        <w:t xml:space="preserve"> po celé šíři pozemní komunikace</w:t>
      </w:r>
      <w:r w:rsidR="00DE3A45">
        <w:t xml:space="preserve"> naprosto legálně. V případě liniové poptávky po přecházení se zřizují přechody pro chodce, zejména na komunikacích s vyšší intenzitou dopravy (více jak 5 000 vozidel/24 h v obou směrech)</w:t>
      </w:r>
      <w:r w:rsidR="000E5173">
        <w:t xml:space="preserve"> </w:t>
      </w:r>
      <w:r w:rsidR="000E5173">
        <w:rPr>
          <w:lang w:val="en-US"/>
        </w:rPr>
        <w:t>[1]</w:t>
      </w:r>
      <w:r w:rsidR="00DE3A45">
        <w:t xml:space="preserve">. </w:t>
      </w:r>
    </w:p>
    <w:p w:rsidR="00DE3A45" w:rsidRDefault="00DE3A45" w:rsidP="00CA49E7">
      <w:pPr>
        <w:jc w:val="both"/>
      </w:pPr>
      <w:r w:rsidRPr="00DE3A45">
        <w:t>Kromě pohybu chodců se v určitých zónách musí brát v úvahu i pobytová funkce prostorů pro chodce (chodníků).</w:t>
      </w:r>
      <w:r w:rsidR="00BD70D3">
        <w:t xml:space="preserve"> Pás pro chodce v přidruženém dopravním prostoru vytváří průchozí prostor, musí být tedy prostorově dimenzován podle parametrů obsažených v normě. </w:t>
      </w:r>
      <w:r w:rsidR="00BD70D3" w:rsidRPr="00BD70D3">
        <w:t>Šířka pásu pro chodce musí odpovídat intenzitě provozu chodců a charakteru komunikace a spolu s bezpečnostními odstupy tvoří šířku chodníku.</w:t>
      </w:r>
      <w:r w:rsidR="00BD70D3">
        <w:t xml:space="preserve"> Přitom </w:t>
      </w:r>
      <w:r w:rsidR="00A8258C">
        <w:t xml:space="preserve">je zohledňována zejména bezpečnost chodců ve vztahu k vedlejší hlavní pozemní komunikaci se silniční dopravou. Z tohoto důvodu jsou převážně aplikována různá bezpečnostní a </w:t>
      </w:r>
      <w:proofErr w:type="spellStart"/>
      <w:r w:rsidR="00A8258C">
        <w:t>z</w:t>
      </w:r>
      <w:r w:rsidR="00E56F05">
        <w:t>klidňovací</w:t>
      </w:r>
      <w:proofErr w:type="spellEnd"/>
      <w:r w:rsidR="00E56F05">
        <w:t xml:space="preserve"> opatření - </w:t>
      </w:r>
      <w:r w:rsidR="00A8258C">
        <w:t>snížení rychlosti motorové dopravy a vynucení si jejího dodržování, oddělení chodníku od hlavního dopravního prostoru stromořadím tam, kde to umožňují šířkové poměry, oddělení zábradlím tam, kde nejde docílit nízké rychlosti vozidel ap</w:t>
      </w:r>
      <w:r w:rsidR="00E56F05">
        <w:t>od. (ČSN 73 6110, 2006)</w:t>
      </w:r>
      <w:r w:rsidR="00A8258C">
        <w:t>.</w:t>
      </w:r>
    </w:p>
    <w:p w:rsidR="00E14162" w:rsidRDefault="00E14162" w:rsidP="00CA49E7">
      <w:pPr>
        <w:jc w:val="both"/>
      </w:pPr>
      <w:r>
        <w:t xml:space="preserve">Norma dále definuje úroveň kvality pohybu chodců, což je koncepčně obdoba úrovně kvality dopravy </w:t>
      </w:r>
      <w:r w:rsidR="005D4980">
        <w:t xml:space="preserve">(úroveň A – F) </w:t>
      </w:r>
      <w:r>
        <w:t>a vyjadřuje vztahy mezi rychlostí chůze, intenzitou a hustotou proudu chodců. Obecně vyjadřuje jakýsi komfort chůze pro člověka. Nejen na základě této úrovně kvality pohybu chodců je stanoveno, že aby byl pro různé skupiny účastníků pěší dopravy pohyb po chodnících (pásech pro pěší) co nejvíce komfortní, musí být šíře chodníku minimálně 1,5 m (bez bezpečnostního odstupu). Minimální šířka chodníku je obecně 0,75</w:t>
      </w:r>
      <w:r w:rsidR="005D4980">
        <w:t xml:space="preserve"> m</w:t>
      </w:r>
      <w:r>
        <w:t>,</w:t>
      </w:r>
      <w:r w:rsidR="00DA3457">
        <w:t xml:space="preserve"> což odpovídá jednomu pruhu pro proud chodců v jednom směru,</w:t>
      </w:r>
      <w:r>
        <w:t xml:space="preserve"> avšak není zde zaručen komfort pro chodce v podobě předcházení chodců, chůze určitou rychlostí, apod. Zcela jiné šířkové poměry pak platí pro stezky pro chodce</w:t>
      </w:r>
      <w:r w:rsidR="000E5173">
        <w:t xml:space="preserve"> </w:t>
      </w:r>
      <w:r w:rsidR="00E56F05">
        <w:t>(ČSN 73 6110, 2006)</w:t>
      </w:r>
      <w:r>
        <w:t>.</w:t>
      </w:r>
    </w:p>
    <w:p w:rsidR="00DA3457" w:rsidRDefault="00CC53AC" w:rsidP="00CA49E7">
      <w:pPr>
        <w:jc w:val="both"/>
      </w:pPr>
      <w:r w:rsidRPr="000E5173">
        <w:lastRenderedPageBreak/>
        <w:t xml:space="preserve">Na základě úrovně kvality pohybu chodců </w:t>
      </w:r>
      <w:r>
        <w:t xml:space="preserve">stanovené Normou ČSN 73 6110 </w:t>
      </w:r>
      <w:r w:rsidRPr="000E5173">
        <w:t>lze určit i výkonnost komunikací pro chodce</w:t>
      </w:r>
      <w:r>
        <w:t>. Uvažujeme-li pruh pro proud chodců v jednom směru odpovídající šíři 0,75 m, pak výkonnost prvního a druhého pruhu v dvoupruhovém pásu pro chodce odpovídá hodnotě zhruba 900 chodců/h (v případě uvážení úrovně kvality pohybu chodců na hodnotě C). Tabulka č. 1 obsažená v Normě ČSN 736110 dokládá přibližnou výkonnost komunikací pro chodce ve vztahu k úrovni kvality pohybu chodců.</w:t>
      </w:r>
    </w:p>
    <w:tbl>
      <w:tblPr>
        <w:tblStyle w:val="Mkatabulky"/>
        <w:tblW w:w="0" w:type="auto"/>
        <w:tblLayout w:type="fixed"/>
        <w:tblLook w:val="04A0" w:firstRow="1" w:lastRow="0" w:firstColumn="1" w:lastColumn="0" w:noHBand="0" w:noVBand="1"/>
      </w:tblPr>
      <w:tblGrid>
        <w:gridCol w:w="817"/>
        <w:gridCol w:w="1134"/>
        <w:gridCol w:w="851"/>
        <w:gridCol w:w="992"/>
        <w:gridCol w:w="1417"/>
        <w:gridCol w:w="4077"/>
      </w:tblGrid>
      <w:tr w:rsidR="00E71814" w:rsidRPr="00E71814" w:rsidTr="00E71814">
        <w:tc>
          <w:tcPr>
            <w:tcW w:w="817" w:type="dxa"/>
            <w:vAlign w:val="center"/>
          </w:tcPr>
          <w:p w:rsidR="00DA3457" w:rsidRPr="00E71814" w:rsidRDefault="00DA3457" w:rsidP="00E71814">
            <w:pPr>
              <w:jc w:val="center"/>
              <w:rPr>
                <w:b/>
                <w:sz w:val="18"/>
                <w:szCs w:val="18"/>
              </w:rPr>
            </w:pPr>
            <w:r w:rsidRPr="00E71814">
              <w:rPr>
                <w:b/>
                <w:sz w:val="18"/>
                <w:szCs w:val="18"/>
              </w:rPr>
              <w:t>Stupeň úrovně kvality</w:t>
            </w:r>
          </w:p>
        </w:tc>
        <w:tc>
          <w:tcPr>
            <w:tcW w:w="1134" w:type="dxa"/>
            <w:vAlign w:val="center"/>
          </w:tcPr>
          <w:p w:rsidR="00DA3457" w:rsidRPr="00E71814" w:rsidRDefault="00DA3457" w:rsidP="00E71814">
            <w:pPr>
              <w:jc w:val="center"/>
              <w:rPr>
                <w:b/>
                <w:sz w:val="18"/>
                <w:szCs w:val="18"/>
                <w:vertAlign w:val="superscript"/>
              </w:rPr>
            </w:pPr>
            <w:r w:rsidRPr="00E71814">
              <w:rPr>
                <w:b/>
                <w:sz w:val="18"/>
                <w:szCs w:val="18"/>
              </w:rPr>
              <w:t>Průměrná hustota chodců/m</w:t>
            </w:r>
            <w:r w:rsidRPr="00E71814">
              <w:rPr>
                <w:b/>
                <w:sz w:val="18"/>
                <w:szCs w:val="18"/>
                <w:vertAlign w:val="superscript"/>
              </w:rPr>
              <w:t>2</w:t>
            </w:r>
          </w:p>
        </w:tc>
        <w:tc>
          <w:tcPr>
            <w:tcW w:w="851" w:type="dxa"/>
            <w:vAlign w:val="center"/>
          </w:tcPr>
          <w:p w:rsidR="00E71814" w:rsidRPr="00E71814" w:rsidRDefault="00DA3457" w:rsidP="00E71814">
            <w:pPr>
              <w:jc w:val="center"/>
              <w:rPr>
                <w:b/>
                <w:sz w:val="18"/>
                <w:szCs w:val="18"/>
              </w:rPr>
            </w:pPr>
            <w:r w:rsidRPr="00E71814">
              <w:rPr>
                <w:b/>
                <w:sz w:val="18"/>
                <w:szCs w:val="18"/>
              </w:rPr>
              <w:t>m</w:t>
            </w:r>
            <w:r w:rsidRPr="00E71814">
              <w:rPr>
                <w:b/>
                <w:sz w:val="18"/>
                <w:szCs w:val="18"/>
                <w:vertAlign w:val="superscript"/>
              </w:rPr>
              <w:t>2</w:t>
            </w:r>
            <w:r w:rsidRPr="00E71814">
              <w:rPr>
                <w:b/>
                <w:sz w:val="18"/>
                <w:szCs w:val="18"/>
              </w:rPr>
              <w:t>/</w:t>
            </w:r>
          </w:p>
          <w:p w:rsidR="00DA3457" w:rsidRPr="00E71814" w:rsidRDefault="00DA3457" w:rsidP="00E71814">
            <w:pPr>
              <w:jc w:val="center"/>
              <w:rPr>
                <w:b/>
                <w:sz w:val="18"/>
                <w:szCs w:val="18"/>
              </w:rPr>
            </w:pPr>
            <w:r w:rsidRPr="00E71814">
              <w:rPr>
                <w:b/>
                <w:sz w:val="18"/>
                <w:szCs w:val="18"/>
              </w:rPr>
              <w:t>chodce</w:t>
            </w:r>
          </w:p>
        </w:tc>
        <w:tc>
          <w:tcPr>
            <w:tcW w:w="992" w:type="dxa"/>
            <w:vAlign w:val="center"/>
          </w:tcPr>
          <w:p w:rsidR="00DA3457" w:rsidRPr="00E71814" w:rsidRDefault="00DA3457" w:rsidP="00E71814">
            <w:pPr>
              <w:jc w:val="center"/>
              <w:rPr>
                <w:b/>
                <w:sz w:val="18"/>
                <w:szCs w:val="18"/>
              </w:rPr>
            </w:pPr>
            <w:r w:rsidRPr="00E71814">
              <w:rPr>
                <w:b/>
                <w:sz w:val="18"/>
                <w:szCs w:val="18"/>
              </w:rPr>
              <w:t>Průměrná rychlost km/h</w:t>
            </w:r>
          </w:p>
        </w:tc>
        <w:tc>
          <w:tcPr>
            <w:tcW w:w="1417" w:type="dxa"/>
            <w:vAlign w:val="center"/>
          </w:tcPr>
          <w:p w:rsidR="00DA3457" w:rsidRPr="00E71814" w:rsidRDefault="00DA3457" w:rsidP="00E71814">
            <w:pPr>
              <w:jc w:val="center"/>
              <w:rPr>
                <w:b/>
                <w:sz w:val="18"/>
                <w:szCs w:val="18"/>
              </w:rPr>
            </w:pPr>
            <w:r w:rsidRPr="00E71814">
              <w:rPr>
                <w:b/>
                <w:sz w:val="18"/>
                <w:szCs w:val="18"/>
              </w:rPr>
              <w:t>Výkonnost chodců/h/pruh</w:t>
            </w:r>
          </w:p>
        </w:tc>
        <w:tc>
          <w:tcPr>
            <w:tcW w:w="4077" w:type="dxa"/>
            <w:vAlign w:val="center"/>
          </w:tcPr>
          <w:p w:rsidR="00DA3457" w:rsidRPr="00E71814" w:rsidRDefault="00DA3457" w:rsidP="00E71814">
            <w:pPr>
              <w:jc w:val="center"/>
              <w:rPr>
                <w:b/>
                <w:sz w:val="18"/>
                <w:szCs w:val="18"/>
              </w:rPr>
            </w:pPr>
            <w:r w:rsidRPr="00E71814">
              <w:rPr>
                <w:b/>
                <w:sz w:val="18"/>
                <w:szCs w:val="18"/>
              </w:rPr>
              <w:t>Charakteristika</w:t>
            </w:r>
          </w:p>
        </w:tc>
      </w:tr>
      <w:tr w:rsidR="00E71814" w:rsidRPr="00E71814" w:rsidTr="00E71814">
        <w:tc>
          <w:tcPr>
            <w:tcW w:w="817" w:type="dxa"/>
            <w:vAlign w:val="center"/>
          </w:tcPr>
          <w:p w:rsidR="00DA3457" w:rsidRPr="00E71814" w:rsidRDefault="00E71814" w:rsidP="00E71814">
            <w:pPr>
              <w:jc w:val="center"/>
              <w:rPr>
                <w:sz w:val="18"/>
                <w:szCs w:val="18"/>
              </w:rPr>
            </w:pPr>
            <w:r w:rsidRPr="00E71814">
              <w:rPr>
                <w:sz w:val="18"/>
                <w:szCs w:val="18"/>
              </w:rPr>
              <w:t>A</w:t>
            </w:r>
          </w:p>
        </w:tc>
        <w:tc>
          <w:tcPr>
            <w:tcW w:w="1134" w:type="dxa"/>
            <w:vAlign w:val="center"/>
          </w:tcPr>
          <w:p w:rsidR="00DA3457" w:rsidRPr="00E71814" w:rsidRDefault="00E71814" w:rsidP="00E71814">
            <w:pPr>
              <w:jc w:val="center"/>
              <w:rPr>
                <w:sz w:val="18"/>
                <w:szCs w:val="18"/>
              </w:rPr>
            </w:pPr>
            <w:r w:rsidRPr="00E71814">
              <w:rPr>
                <w:sz w:val="18"/>
                <w:szCs w:val="18"/>
              </w:rPr>
              <w:t>0,08</w:t>
            </w:r>
          </w:p>
        </w:tc>
        <w:tc>
          <w:tcPr>
            <w:tcW w:w="851" w:type="dxa"/>
            <w:vAlign w:val="center"/>
          </w:tcPr>
          <w:p w:rsidR="00DA3457" w:rsidRPr="00E71814" w:rsidRDefault="00E71814" w:rsidP="00E71814">
            <w:pPr>
              <w:jc w:val="center"/>
              <w:rPr>
                <w:sz w:val="18"/>
                <w:szCs w:val="18"/>
              </w:rPr>
            </w:pPr>
            <w:r w:rsidRPr="00E71814">
              <w:rPr>
                <w:sz w:val="18"/>
                <w:szCs w:val="18"/>
              </w:rPr>
              <w:t>12</w:t>
            </w:r>
          </w:p>
        </w:tc>
        <w:tc>
          <w:tcPr>
            <w:tcW w:w="992" w:type="dxa"/>
            <w:vAlign w:val="center"/>
          </w:tcPr>
          <w:p w:rsidR="00DA3457" w:rsidRPr="00E71814" w:rsidRDefault="00E71814" w:rsidP="00E71814">
            <w:pPr>
              <w:jc w:val="center"/>
              <w:rPr>
                <w:sz w:val="18"/>
                <w:szCs w:val="18"/>
              </w:rPr>
            </w:pPr>
            <w:r w:rsidRPr="00E71814">
              <w:rPr>
                <w:sz w:val="18"/>
                <w:szCs w:val="18"/>
              </w:rPr>
              <w:t>4,8</w:t>
            </w:r>
          </w:p>
        </w:tc>
        <w:tc>
          <w:tcPr>
            <w:tcW w:w="1417" w:type="dxa"/>
            <w:vAlign w:val="center"/>
          </w:tcPr>
          <w:p w:rsidR="00DA3457" w:rsidRPr="00E71814" w:rsidRDefault="00E71814" w:rsidP="00E71814">
            <w:pPr>
              <w:jc w:val="center"/>
              <w:rPr>
                <w:sz w:val="18"/>
                <w:szCs w:val="18"/>
              </w:rPr>
            </w:pPr>
            <w:r w:rsidRPr="00E71814">
              <w:rPr>
                <w:sz w:val="18"/>
                <w:szCs w:val="18"/>
              </w:rPr>
              <w:t>120-180</w:t>
            </w:r>
          </w:p>
        </w:tc>
        <w:tc>
          <w:tcPr>
            <w:tcW w:w="4077" w:type="dxa"/>
          </w:tcPr>
          <w:p w:rsidR="00DA3457" w:rsidRPr="00E71814" w:rsidRDefault="00E71814" w:rsidP="00CA49E7">
            <w:pPr>
              <w:jc w:val="both"/>
              <w:rPr>
                <w:sz w:val="18"/>
                <w:szCs w:val="18"/>
              </w:rPr>
            </w:pPr>
            <w:r w:rsidRPr="00E71814">
              <w:rPr>
                <w:sz w:val="18"/>
                <w:szCs w:val="18"/>
              </w:rPr>
              <w:t>Chodec se pohybuje volně, zvolenou rychlostí, bez konfliktů</w:t>
            </w:r>
          </w:p>
        </w:tc>
      </w:tr>
      <w:tr w:rsidR="00E71814" w:rsidRPr="00E71814" w:rsidTr="00E71814">
        <w:tc>
          <w:tcPr>
            <w:tcW w:w="817" w:type="dxa"/>
            <w:vAlign w:val="center"/>
          </w:tcPr>
          <w:p w:rsidR="00DA3457" w:rsidRPr="00E71814" w:rsidRDefault="00E71814" w:rsidP="00E71814">
            <w:pPr>
              <w:jc w:val="center"/>
              <w:rPr>
                <w:sz w:val="18"/>
                <w:szCs w:val="18"/>
              </w:rPr>
            </w:pPr>
            <w:r w:rsidRPr="00E71814">
              <w:rPr>
                <w:sz w:val="18"/>
                <w:szCs w:val="18"/>
              </w:rPr>
              <w:t>B</w:t>
            </w:r>
          </w:p>
        </w:tc>
        <w:tc>
          <w:tcPr>
            <w:tcW w:w="1134" w:type="dxa"/>
            <w:vAlign w:val="center"/>
          </w:tcPr>
          <w:p w:rsidR="00DA3457" w:rsidRPr="00E71814" w:rsidRDefault="00E71814" w:rsidP="00E71814">
            <w:pPr>
              <w:jc w:val="center"/>
              <w:rPr>
                <w:sz w:val="18"/>
                <w:szCs w:val="18"/>
              </w:rPr>
            </w:pPr>
            <w:r w:rsidRPr="00E71814">
              <w:rPr>
                <w:sz w:val="18"/>
                <w:szCs w:val="18"/>
              </w:rPr>
              <w:t>0,27</w:t>
            </w:r>
          </w:p>
        </w:tc>
        <w:tc>
          <w:tcPr>
            <w:tcW w:w="851" w:type="dxa"/>
            <w:vAlign w:val="center"/>
          </w:tcPr>
          <w:p w:rsidR="00DA3457" w:rsidRPr="00E71814" w:rsidRDefault="00E71814" w:rsidP="00E71814">
            <w:pPr>
              <w:jc w:val="center"/>
              <w:rPr>
                <w:sz w:val="18"/>
                <w:szCs w:val="18"/>
              </w:rPr>
            </w:pPr>
            <w:r w:rsidRPr="00E71814">
              <w:rPr>
                <w:sz w:val="18"/>
                <w:szCs w:val="18"/>
              </w:rPr>
              <w:t>3,7</w:t>
            </w:r>
          </w:p>
        </w:tc>
        <w:tc>
          <w:tcPr>
            <w:tcW w:w="992" w:type="dxa"/>
            <w:vAlign w:val="center"/>
          </w:tcPr>
          <w:p w:rsidR="00DA3457" w:rsidRPr="00E71814" w:rsidRDefault="00E71814" w:rsidP="00E71814">
            <w:pPr>
              <w:jc w:val="center"/>
              <w:rPr>
                <w:sz w:val="18"/>
                <w:szCs w:val="18"/>
              </w:rPr>
            </w:pPr>
            <w:r w:rsidRPr="00E71814">
              <w:rPr>
                <w:sz w:val="18"/>
                <w:szCs w:val="18"/>
              </w:rPr>
              <w:t>4,6</w:t>
            </w:r>
          </w:p>
        </w:tc>
        <w:tc>
          <w:tcPr>
            <w:tcW w:w="1417" w:type="dxa"/>
            <w:vAlign w:val="center"/>
          </w:tcPr>
          <w:p w:rsidR="00DA3457" w:rsidRPr="00E71814" w:rsidRDefault="00E71814" w:rsidP="00E71814">
            <w:pPr>
              <w:jc w:val="center"/>
              <w:rPr>
                <w:sz w:val="18"/>
                <w:szCs w:val="18"/>
              </w:rPr>
            </w:pPr>
            <w:r w:rsidRPr="00E71814">
              <w:rPr>
                <w:sz w:val="18"/>
                <w:szCs w:val="18"/>
              </w:rPr>
              <w:t>240-360</w:t>
            </w:r>
          </w:p>
        </w:tc>
        <w:tc>
          <w:tcPr>
            <w:tcW w:w="4077" w:type="dxa"/>
          </w:tcPr>
          <w:p w:rsidR="00DA3457" w:rsidRPr="00E71814" w:rsidRDefault="00E71814" w:rsidP="00CA49E7">
            <w:pPr>
              <w:jc w:val="both"/>
              <w:rPr>
                <w:sz w:val="18"/>
                <w:szCs w:val="18"/>
              </w:rPr>
            </w:pPr>
            <w:r w:rsidRPr="00E71814">
              <w:rPr>
                <w:sz w:val="18"/>
                <w:szCs w:val="18"/>
              </w:rPr>
              <w:t>Pohyb je stále volný, vliv přítomnosti dalších chodců je malý</w:t>
            </w:r>
          </w:p>
        </w:tc>
      </w:tr>
      <w:tr w:rsidR="00E71814" w:rsidRPr="00E71814" w:rsidTr="00E71814">
        <w:tc>
          <w:tcPr>
            <w:tcW w:w="817" w:type="dxa"/>
            <w:vAlign w:val="center"/>
          </w:tcPr>
          <w:p w:rsidR="00DA3457" w:rsidRPr="00E71814" w:rsidRDefault="00E71814" w:rsidP="00E71814">
            <w:pPr>
              <w:jc w:val="center"/>
              <w:rPr>
                <w:sz w:val="18"/>
                <w:szCs w:val="18"/>
              </w:rPr>
            </w:pPr>
            <w:r w:rsidRPr="00E71814">
              <w:rPr>
                <w:sz w:val="18"/>
                <w:szCs w:val="18"/>
              </w:rPr>
              <w:t>C</w:t>
            </w:r>
          </w:p>
        </w:tc>
        <w:tc>
          <w:tcPr>
            <w:tcW w:w="1134" w:type="dxa"/>
            <w:vAlign w:val="center"/>
          </w:tcPr>
          <w:p w:rsidR="00DA3457" w:rsidRPr="00E71814" w:rsidRDefault="00E71814" w:rsidP="00E71814">
            <w:pPr>
              <w:jc w:val="center"/>
              <w:rPr>
                <w:sz w:val="18"/>
                <w:szCs w:val="18"/>
              </w:rPr>
            </w:pPr>
            <w:r w:rsidRPr="00E71814">
              <w:rPr>
                <w:sz w:val="18"/>
                <w:szCs w:val="18"/>
              </w:rPr>
              <w:t>0,45</w:t>
            </w:r>
          </w:p>
        </w:tc>
        <w:tc>
          <w:tcPr>
            <w:tcW w:w="851" w:type="dxa"/>
            <w:vAlign w:val="center"/>
          </w:tcPr>
          <w:p w:rsidR="00DA3457" w:rsidRPr="00E71814" w:rsidRDefault="00E71814" w:rsidP="00E71814">
            <w:pPr>
              <w:jc w:val="center"/>
              <w:rPr>
                <w:sz w:val="18"/>
                <w:szCs w:val="18"/>
              </w:rPr>
            </w:pPr>
            <w:r w:rsidRPr="00E71814">
              <w:rPr>
                <w:sz w:val="18"/>
                <w:szCs w:val="18"/>
              </w:rPr>
              <w:t>2,2</w:t>
            </w:r>
          </w:p>
        </w:tc>
        <w:tc>
          <w:tcPr>
            <w:tcW w:w="992" w:type="dxa"/>
            <w:vAlign w:val="center"/>
          </w:tcPr>
          <w:p w:rsidR="00DA3457" w:rsidRPr="00E71814" w:rsidRDefault="00E71814" w:rsidP="00E71814">
            <w:pPr>
              <w:jc w:val="center"/>
              <w:rPr>
                <w:sz w:val="18"/>
                <w:szCs w:val="18"/>
              </w:rPr>
            </w:pPr>
            <w:r w:rsidRPr="00E71814">
              <w:rPr>
                <w:sz w:val="18"/>
                <w:szCs w:val="18"/>
              </w:rPr>
              <w:t>4,4</w:t>
            </w:r>
          </w:p>
        </w:tc>
        <w:tc>
          <w:tcPr>
            <w:tcW w:w="1417" w:type="dxa"/>
            <w:vAlign w:val="center"/>
          </w:tcPr>
          <w:p w:rsidR="00DA3457" w:rsidRPr="00E71814" w:rsidRDefault="00E71814" w:rsidP="00E71814">
            <w:pPr>
              <w:jc w:val="center"/>
              <w:rPr>
                <w:sz w:val="18"/>
                <w:szCs w:val="18"/>
              </w:rPr>
            </w:pPr>
            <w:r w:rsidRPr="00E71814">
              <w:rPr>
                <w:sz w:val="18"/>
                <w:szCs w:val="18"/>
              </w:rPr>
              <w:t>600-900</w:t>
            </w:r>
          </w:p>
        </w:tc>
        <w:tc>
          <w:tcPr>
            <w:tcW w:w="4077" w:type="dxa"/>
          </w:tcPr>
          <w:p w:rsidR="00DA3457" w:rsidRPr="00E71814" w:rsidRDefault="00E71814" w:rsidP="00CA49E7">
            <w:pPr>
              <w:jc w:val="both"/>
              <w:rPr>
                <w:sz w:val="18"/>
                <w:szCs w:val="18"/>
              </w:rPr>
            </w:pPr>
            <w:r w:rsidRPr="00E71814">
              <w:rPr>
                <w:sz w:val="18"/>
                <w:szCs w:val="18"/>
              </w:rPr>
              <w:t>Možnost jak chůze normální rychlostí, tak předcházení v jednom směru, menší konflikty při křižných a protisměrných pohybech, mírné snížení rychlosti</w:t>
            </w:r>
          </w:p>
        </w:tc>
      </w:tr>
      <w:tr w:rsidR="00E71814" w:rsidRPr="00E71814" w:rsidTr="00E71814">
        <w:tc>
          <w:tcPr>
            <w:tcW w:w="817" w:type="dxa"/>
            <w:vAlign w:val="center"/>
          </w:tcPr>
          <w:p w:rsidR="00DA3457" w:rsidRPr="00E71814" w:rsidRDefault="00E71814" w:rsidP="00E71814">
            <w:pPr>
              <w:jc w:val="center"/>
              <w:rPr>
                <w:sz w:val="18"/>
                <w:szCs w:val="18"/>
              </w:rPr>
            </w:pPr>
            <w:r w:rsidRPr="00E71814">
              <w:rPr>
                <w:sz w:val="18"/>
                <w:szCs w:val="18"/>
              </w:rPr>
              <w:t>D</w:t>
            </w:r>
          </w:p>
        </w:tc>
        <w:tc>
          <w:tcPr>
            <w:tcW w:w="1134" w:type="dxa"/>
            <w:vAlign w:val="center"/>
          </w:tcPr>
          <w:p w:rsidR="00DA3457" w:rsidRPr="00E71814" w:rsidRDefault="00E71814" w:rsidP="00E71814">
            <w:pPr>
              <w:jc w:val="center"/>
              <w:rPr>
                <w:sz w:val="18"/>
                <w:szCs w:val="18"/>
              </w:rPr>
            </w:pPr>
            <w:r w:rsidRPr="00E71814">
              <w:rPr>
                <w:sz w:val="18"/>
                <w:szCs w:val="18"/>
              </w:rPr>
              <w:t>0,71</w:t>
            </w:r>
          </w:p>
        </w:tc>
        <w:tc>
          <w:tcPr>
            <w:tcW w:w="851" w:type="dxa"/>
            <w:vAlign w:val="center"/>
          </w:tcPr>
          <w:p w:rsidR="00DA3457" w:rsidRPr="00E71814" w:rsidRDefault="00E71814" w:rsidP="00E71814">
            <w:pPr>
              <w:jc w:val="center"/>
              <w:rPr>
                <w:sz w:val="18"/>
                <w:szCs w:val="18"/>
              </w:rPr>
            </w:pPr>
            <w:r w:rsidRPr="00E71814">
              <w:rPr>
                <w:sz w:val="18"/>
                <w:szCs w:val="18"/>
              </w:rPr>
              <w:t>1,4</w:t>
            </w:r>
          </w:p>
        </w:tc>
        <w:tc>
          <w:tcPr>
            <w:tcW w:w="992" w:type="dxa"/>
            <w:vAlign w:val="center"/>
          </w:tcPr>
          <w:p w:rsidR="00DA3457" w:rsidRPr="00E71814" w:rsidRDefault="00E71814" w:rsidP="00E71814">
            <w:pPr>
              <w:jc w:val="center"/>
              <w:rPr>
                <w:sz w:val="18"/>
                <w:szCs w:val="18"/>
              </w:rPr>
            </w:pPr>
            <w:r w:rsidRPr="00E71814">
              <w:rPr>
                <w:sz w:val="18"/>
                <w:szCs w:val="18"/>
              </w:rPr>
              <w:t>4,1</w:t>
            </w:r>
          </w:p>
        </w:tc>
        <w:tc>
          <w:tcPr>
            <w:tcW w:w="1417" w:type="dxa"/>
            <w:vAlign w:val="center"/>
          </w:tcPr>
          <w:p w:rsidR="00DA3457" w:rsidRPr="00E71814" w:rsidRDefault="00E71814" w:rsidP="00E71814">
            <w:pPr>
              <w:jc w:val="center"/>
              <w:rPr>
                <w:sz w:val="18"/>
                <w:szCs w:val="18"/>
              </w:rPr>
            </w:pPr>
            <w:r w:rsidRPr="00E71814">
              <w:rPr>
                <w:sz w:val="18"/>
                <w:szCs w:val="18"/>
              </w:rPr>
              <w:t>900-1300</w:t>
            </w:r>
          </w:p>
        </w:tc>
        <w:tc>
          <w:tcPr>
            <w:tcW w:w="4077" w:type="dxa"/>
          </w:tcPr>
          <w:p w:rsidR="00DA3457" w:rsidRPr="00E71814" w:rsidRDefault="00E71814" w:rsidP="00CA49E7">
            <w:pPr>
              <w:jc w:val="both"/>
              <w:rPr>
                <w:sz w:val="18"/>
                <w:szCs w:val="18"/>
              </w:rPr>
            </w:pPr>
            <w:r w:rsidRPr="00E71814">
              <w:rPr>
                <w:sz w:val="18"/>
                <w:szCs w:val="18"/>
              </w:rPr>
              <w:t>Volba rychlosti a předcházení je omezena, křižné a protisměrné pohyby vyžadují změny rychlosti a polohy a jsou konfliktní, citelné interakce mezi chodci</w:t>
            </w:r>
          </w:p>
        </w:tc>
      </w:tr>
      <w:tr w:rsidR="00E71814" w:rsidRPr="00E71814" w:rsidTr="00E71814">
        <w:tc>
          <w:tcPr>
            <w:tcW w:w="817" w:type="dxa"/>
            <w:vAlign w:val="center"/>
          </w:tcPr>
          <w:p w:rsidR="00DA3457" w:rsidRPr="00E71814" w:rsidRDefault="00E71814" w:rsidP="00E71814">
            <w:pPr>
              <w:jc w:val="center"/>
              <w:rPr>
                <w:sz w:val="18"/>
                <w:szCs w:val="18"/>
              </w:rPr>
            </w:pPr>
            <w:r w:rsidRPr="00E71814">
              <w:rPr>
                <w:sz w:val="18"/>
                <w:szCs w:val="18"/>
              </w:rPr>
              <w:t>E</w:t>
            </w:r>
          </w:p>
        </w:tc>
        <w:tc>
          <w:tcPr>
            <w:tcW w:w="1134" w:type="dxa"/>
            <w:vAlign w:val="center"/>
          </w:tcPr>
          <w:p w:rsidR="00DA3457" w:rsidRPr="00E71814" w:rsidRDefault="00E71814" w:rsidP="00E71814">
            <w:pPr>
              <w:jc w:val="center"/>
              <w:rPr>
                <w:sz w:val="18"/>
                <w:szCs w:val="18"/>
              </w:rPr>
            </w:pPr>
            <w:r w:rsidRPr="00E71814">
              <w:rPr>
                <w:sz w:val="18"/>
                <w:szCs w:val="18"/>
              </w:rPr>
              <w:t>1,67</w:t>
            </w:r>
          </w:p>
        </w:tc>
        <w:tc>
          <w:tcPr>
            <w:tcW w:w="851" w:type="dxa"/>
            <w:vAlign w:val="center"/>
          </w:tcPr>
          <w:p w:rsidR="00DA3457" w:rsidRPr="00E71814" w:rsidRDefault="00E71814" w:rsidP="00E71814">
            <w:pPr>
              <w:jc w:val="center"/>
              <w:rPr>
                <w:sz w:val="18"/>
                <w:szCs w:val="18"/>
              </w:rPr>
            </w:pPr>
            <w:r w:rsidRPr="00E71814">
              <w:rPr>
                <w:sz w:val="18"/>
                <w:szCs w:val="18"/>
              </w:rPr>
              <w:t>0,6</w:t>
            </w:r>
          </w:p>
        </w:tc>
        <w:tc>
          <w:tcPr>
            <w:tcW w:w="992" w:type="dxa"/>
            <w:vAlign w:val="center"/>
          </w:tcPr>
          <w:p w:rsidR="00DA3457" w:rsidRPr="00E71814" w:rsidRDefault="00E71814" w:rsidP="00E71814">
            <w:pPr>
              <w:jc w:val="center"/>
              <w:rPr>
                <w:sz w:val="18"/>
                <w:szCs w:val="18"/>
              </w:rPr>
            </w:pPr>
            <w:r w:rsidRPr="00E71814">
              <w:rPr>
                <w:sz w:val="18"/>
                <w:szCs w:val="18"/>
              </w:rPr>
              <w:t>2,7</w:t>
            </w:r>
          </w:p>
        </w:tc>
        <w:tc>
          <w:tcPr>
            <w:tcW w:w="1417" w:type="dxa"/>
            <w:vAlign w:val="center"/>
          </w:tcPr>
          <w:p w:rsidR="00DA3457" w:rsidRPr="00E71814" w:rsidRDefault="00E71814" w:rsidP="00E71814">
            <w:pPr>
              <w:jc w:val="center"/>
              <w:rPr>
                <w:sz w:val="18"/>
                <w:szCs w:val="18"/>
              </w:rPr>
            </w:pPr>
            <w:r w:rsidRPr="00E71814">
              <w:rPr>
                <w:sz w:val="18"/>
                <w:szCs w:val="18"/>
              </w:rPr>
              <w:t>1500-2200</w:t>
            </w:r>
          </w:p>
        </w:tc>
        <w:tc>
          <w:tcPr>
            <w:tcW w:w="4077" w:type="dxa"/>
          </w:tcPr>
          <w:p w:rsidR="00DA3457" w:rsidRPr="00E71814" w:rsidRDefault="00E71814" w:rsidP="00CA49E7">
            <w:pPr>
              <w:jc w:val="both"/>
              <w:rPr>
                <w:sz w:val="18"/>
                <w:szCs w:val="18"/>
              </w:rPr>
            </w:pPr>
            <w:r w:rsidRPr="00E71814">
              <w:rPr>
                <w:sz w:val="18"/>
                <w:szCs w:val="18"/>
              </w:rPr>
              <w:t>Značné omezení rychlosti, předcházení není možné, křižné a protisměrné pohyby jen s velkými obtížemi, limitní stav kapacity s přerušováním až zastavováním pohybu</w:t>
            </w:r>
          </w:p>
        </w:tc>
      </w:tr>
      <w:tr w:rsidR="00E71814" w:rsidRPr="00E71814" w:rsidTr="00E71814">
        <w:tc>
          <w:tcPr>
            <w:tcW w:w="817" w:type="dxa"/>
            <w:vAlign w:val="center"/>
          </w:tcPr>
          <w:p w:rsidR="00E71814" w:rsidRPr="00E71814" w:rsidRDefault="00E71814" w:rsidP="00E71814">
            <w:pPr>
              <w:jc w:val="center"/>
              <w:rPr>
                <w:sz w:val="18"/>
                <w:szCs w:val="18"/>
              </w:rPr>
            </w:pPr>
            <w:r w:rsidRPr="00E71814">
              <w:rPr>
                <w:sz w:val="18"/>
                <w:szCs w:val="18"/>
              </w:rPr>
              <w:t>F</w:t>
            </w:r>
          </w:p>
        </w:tc>
        <w:tc>
          <w:tcPr>
            <w:tcW w:w="1134" w:type="dxa"/>
            <w:vAlign w:val="center"/>
          </w:tcPr>
          <w:p w:rsidR="00E71814" w:rsidRPr="00E71814" w:rsidRDefault="00E71814" w:rsidP="00E71814">
            <w:pPr>
              <w:jc w:val="center"/>
              <w:rPr>
                <w:sz w:val="18"/>
                <w:szCs w:val="18"/>
              </w:rPr>
            </w:pPr>
            <w:r w:rsidRPr="00E71814">
              <w:rPr>
                <w:sz w:val="18"/>
                <w:szCs w:val="18"/>
              </w:rPr>
              <w:t>&gt; 1,7</w:t>
            </w:r>
          </w:p>
        </w:tc>
        <w:tc>
          <w:tcPr>
            <w:tcW w:w="851" w:type="dxa"/>
            <w:vAlign w:val="center"/>
          </w:tcPr>
          <w:p w:rsidR="00E71814" w:rsidRPr="00E71814" w:rsidRDefault="00E71814" w:rsidP="00E71814">
            <w:pPr>
              <w:jc w:val="center"/>
              <w:rPr>
                <w:sz w:val="18"/>
                <w:szCs w:val="18"/>
              </w:rPr>
            </w:pPr>
            <w:r w:rsidRPr="00E71814">
              <w:rPr>
                <w:sz w:val="18"/>
                <w:szCs w:val="18"/>
              </w:rPr>
              <w:t>&lt; 6</w:t>
            </w:r>
          </w:p>
        </w:tc>
        <w:tc>
          <w:tcPr>
            <w:tcW w:w="2409" w:type="dxa"/>
            <w:gridSpan w:val="2"/>
            <w:vAlign w:val="center"/>
          </w:tcPr>
          <w:p w:rsidR="00E71814" w:rsidRPr="00E71814" w:rsidRDefault="00E71814" w:rsidP="00E71814">
            <w:pPr>
              <w:jc w:val="center"/>
              <w:rPr>
                <w:sz w:val="18"/>
                <w:szCs w:val="18"/>
              </w:rPr>
            </w:pPr>
            <w:r w:rsidRPr="00E71814">
              <w:rPr>
                <w:sz w:val="18"/>
                <w:szCs w:val="18"/>
              </w:rPr>
              <w:t>proměnná</w:t>
            </w:r>
          </w:p>
        </w:tc>
        <w:tc>
          <w:tcPr>
            <w:tcW w:w="4077" w:type="dxa"/>
          </w:tcPr>
          <w:p w:rsidR="00E71814" w:rsidRPr="00E71814" w:rsidRDefault="00E71814" w:rsidP="00CA49E7">
            <w:pPr>
              <w:jc w:val="both"/>
              <w:rPr>
                <w:sz w:val="18"/>
                <w:szCs w:val="18"/>
              </w:rPr>
            </w:pPr>
            <w:r w:rsidRPr="00E71814">
              <w:rPr>
                <w:sz w:val="18"/>
                <w:szCs w:val="18"/>
              </w:rPr>
              <w:t>Pohyb je nestálý a možný jen posunováním, stálý kontakt s ostatními chodci, křižné a protisměrné pohyby vyloučeny, stav se blíží shluku chodců bez pohybu</w:t>
            </w:r>
          </w:p>
        </w:tc>
      </w:tr>
    </w:tbl>
    <w:p w:rsidR="00DA3457" w:rsidRDefault="00CC53AC" w:rsidP="00CC53AC">
      <w:pPr>
        <w:spacing w:after="0"/>
        <w:jc w:val="center"/>
        <w:rPr>
          <w:rStyle w:val="Zvraznn"/>
        </w:rPr>
      </w:pPr>
      <w:r w:rsidRPr="000E5173">
        <w:rPr>
          <w:rStyle w:val="Zvraznn"/>
        </w:rPr>
        <w:t xml:space="preserve">Tab. 1 – </w:t>
      </w:r>
      <w:r>
        <w:rPr>
          <w:rStyle w:val="Zvraznn"/>
        </w:rPr>
        <w:t>Výkonnost komunikace pro chodce ve vztahu k úrovni kvality</w:t>
      </w:r>
    </w:p>
    <w:p w:rsidR="00CC53AC" w:rsidRDefault="00CC53AC" w:rsidP="00CC53AC">
      <w:pPr>
        <w:jc w:val="center"/>
      </w:pPr>
      <w:r w:rsidRPr="000E5173">
        <w:rPr>
          <w:rStyle w:val="Zvraznn"/>
        </w:rPr>
        <w:t xml:space="preserve">(zdroj: </w:t>
      </w:r>
      <w:r>
        <w:rPr>
          <w:rStyle w:val="Zvraznn"/>
        </w:rPr>
        <w:t>ČSN 73 6110, 2006</w:t>
      </w:r>
      <w:r w:rsidRPr="000E5173">
        <w:rPr>
          <w:rStyle w:val="Zvraznn"/>
        </w:rPr>
        <w:t>)</w:t>
      </w:r>
    </w:p>
    <w:p w:rsidR="000E5173" w:rsidRDefault="005D4980" w:rsidP="00CA49E7">
      <w:pPr>
        <w:jc w:val="both"/>
      </w:pPr>
      <w:r>
        <w:t xml:space="preserve">Různé faktory, které mají vliv na úroveň kvality pohybu chodců, jsou zohledněny při samotném plánování pásů pro pěší v rámci stanovení úrovní kvality pohybu chodců. Úroveň A vyjadřuje stav, kdy se chodec pohybuje volně zvolenou rychlostí bez konfliktů, žádné faktory nebrání jeho přirozené chůzi. Naopak úroveň F vyjadřuje stav, kdy pohyb chodce je nestálý možný pouze posunováním a je zde neustálý kontakt s ostatními chodci. </w:t>
      </w:r>
      <w:r w:rsidR="000E5173">
        <w:t>Jedním ze základní</w:t>
      </w:r>
      <w:r>
        <w:t>ch faktorů, které toto ovlivňují je tedy šíře chodníku, rychlost proudu chodců odvíjející se od nejpomalejšího účastníka provozu</w:t>
      </w:r>
      <w:r w:rsidR="000E5173">
        <w:t xml:space="preserve"> v řadě za sebou, překážky v podobě městského itineráře sloupy veřejného osvětlení, intenzita chodců a s ní související hustota proudu chodců, úroveň </w:t>
      </w:r>
      <w:proofErr w:type="spellStart"/>
      <w:r w:rsidR="000E5173">
        <w:t>shlukovosti</w:t>
      </w:r>
      <w:proofErr w:type="spellEnd"/>
      <w:r w:rsidR="000E5173">
        <w:t xml:space="preserve"> chodců při různých objektech (zastávka VHD, přechod p</w:t>
      </w:r>
      <w:r w:rsidR="00AF3E52">
        <w:t>ro chodce), sklon chodníku, aj</w:t>
      </w:r>
      <w:r w:rsidR="000E5173">
        <w:t>.</w:t>
      </w:r>
    </w:p>
    <w:p w:rsidR="000E5173" w:rsidRDefault="000E5173" w:rsidP="006861E1">
      <w:pPr>
        <w:jc w:val="both"/>
      </w:pPr>
      <w:r>
        <w:t xml:space="preserve">Právě rychlost chůze chodců </w:t>
      </w:r>
      <w:r w:rsidR="005D4980">
        <w:t>je zde v základu rozdělena do třech kategorií</w:t>
      </w:r>
      <w:r>
        <w:t xml:space="preserve">: nejrychlejší – mládež, studenti; pomalejší – docházka do zaměstnání; nejpomalejší – nakupující, osoby s omezenou schopností pohybu a orientace. Rozdíl v rychlosti mezi krajními skupinami je cca 30 % </w:t>
      </w:r>
      <w:r w:rsidR="00E56F05">
        <w:t>(ČSN 73 6110, 2006)</w:t>
      </w:r>
      <w:r>
        <w:t>.</w:t>
      </w:r>
      <w:r w:rsidR="006861E1">
        <w:t xml:space="preserve"> Zajímavý</w:t>
      </w:r>
      <w:r>
        <w:t xml:space="preserve"> pohled </w:t>
      </w:r>
      <w:r w:rsidR="006861E1">
        <w:t>na rozdělení skupin chodců přináší mezinárodní uskupení v podobě charty „Walk21“, které se snaží celosvětově vytvářet přívětivé podmínky pro chodce v urbanistických celcích. Jednotlivé stanovené kategorie chodců má svá specifika, která je při plánování nezbytné zohledňovat.</w:t>
      </w:r>
      <w:r w:rsidR="006861E1" w:rsidRPr="006861E1">
        <w:t xml:space="preserve"> </w:t>
      </w:r>
      <w:r w:rsidR="006861E1" w:rsidRPr="000E5173">
        <w:t>Chodci jsou totiž různorodou skupinou účastníků silničního provozu, s vlastnostmi, které reflektují rozmanitost celkové populace</w:t>
      </w:r>
      <w:r w:rsidR="006861E1">
        <w:t xml:space="preserve"> </w:t>
      </w:r>
      <w:r w:rsidR="00E56F05">
        <w:rPr>
          <w:lang w:val="en-US"/>
        </w:rPr>
        <w:t>(NZTA, 2007)</w:t>
      </w:r>
      <w:r w:rsidR="006861E1" w:rsidRPr="000E5173">
        <w:t>.</w:t>
      </w:r>
    </w:p>
    <w:tbl>
      <w:tblPr>
        <w:tblStyle w:val="Mkatabulky"/>
        <w:tblW w:w="0" w:type="auto"/>
        <w:tblLook w:val="04A0" w:firstRow="1" w:lastRow="0" w:firstColumn="1" w:lastColumn="0" w:noHBand="0" w:noVBand="1"/>
      </w:tblPr>
      <w:tblGrid>
        <w:gridCol w:w="4644"/>
        <w:gridCol w:w="4644"/>
      </w:tblGrid>
      <w:tr w:rsidR="00E71814" w:rsidTr="00E71814">
        <w:tc>
          <w:tcPr>
            <w:tcW w:w="4644" w:type="dxa"/>
          </w:tcPr>
          <w:p w:rsidR="00E71814" w:rsidRDefault="00E71814" w:rsidP="00CC53AC">
            <w:pPr>
              <w:jc w:val="center"/>
            </w:pPr>
            <w:r w:rsidRPr="00DA3457">
              <w:rPr>
                <w:rFonts w:eastAsia="Times New Roman" w:cs="Times New Roman"/>
                <w:b/>
                <w:bCs/>
                <w:sz w:val="18"/>
                <w:szCs w:val="18"/>
                <w:lang w:eastAsia="cs-CZ"/>
              </w:rPr>
              <w:t>Druh chodce</w:t>
            </w:r>
          </w:p>
        </w:tc>
        <w:tc>
          <w:tcPr>
            <w:tcW w:w="4644" w:type="dxa"/>
          </w:tcPr>
          <w:p w:rsidR="00E71814" w:rsidRDefault="00E71814" w:rsidP="00CC53AC">
            <w:pPr>
              <w:jc w:val="center"/>
            </w:pPr>
            <w:r w:rsidRPr="00DA3457">
              <w:rPr>
                <w:rFonts w:eastAsia="Times New Roman" w:cs="Times New Roman"/>
                <w:b/>
                <w:bCs/>
                <w:sz w:val="18"/>
                <w:szCs w:val="18"/>
                <w:lang w:eastAsia="cs-CZ"/>
              </w:rPr>
              <w:t>Podkategorie</w:t>
            </w:r>
          </w:p>
        </w:tc>
      </w:tr>
      <w:tr w:rsidR="00E71814" w:rsidTr="00E71814">
        <w:tc>
          <w:tcPr>
            <w:tcW w:w="4644" w:type="dxa"/>
          </w:tcPr>
          <w:p w:rsidR="00E71814" w:rsidRDefault="00E71814" w:rsidP="006861E1">
            <w:pPr>
              <w:jc w:val="both"/>
            </w:pPr>
            <w:r w:rsidRPr="00DA3457">
              <w:rPr>
                <w:rFonts w:eastAsia="Times New Roman" w:cs="Times New Roman"/>
                <w:sz w:val="18"/>
                <w:szCs w:val="18"/>
                <w:lang w:eastAsia="cs-CZ"/>
              </w:rPr>
              <w:t>Pěší</w:t>
            </w:r>
          </w:p>
        </w:tc>
        <w:tc>
          <w:tcPr>
            <w:tcW w:w="4644" w:type="dxa"/>
          </w:tcPr>
          <w:p w:rsidR="00E71814" w:rsidRDefault="00E71814" w:rsidP="006861E1">
            <w:pPr>
              <w:jc w:val="both"/>
              <w:rPr>
                <w:rFonts w:eastAsia="Times New Roman" w:cs="Times New Roman"/>
                <w:sz w:val="18"/>
                <w:szCs w:val="18"/>
                <w:lang w:eastAsia="cs-CZ"/>
              </w:rPr>
            </w:pPr>
            <w:r w:rsidRPr="00DA3457">
              <w:rPr>
                <w:rFonts w:eastAsia="Times New Roman" w:cs="Times New Roman"/>
                <w:sz w:val="18"/>
                <w:szCs w:val="18"/>
                <w:lang w:eastAsia="cs-CZ"/>
              </w:rPr>
              <w:t>Zdatný chodec</w:t>
            </w:r>
          </w:p>
          <w:p w:rsidR="00E71814" w:rsidRDefault="00E71814" w:rsidP="006861E1">
            <w:pPr>
              <w:jc w:val="both"/>
              <w:rPr>
                <w:rFonts w:eastAsia="Times New Roman" w:cs="Times New Roman"/>
                <w:sz w:val="18"/>
                <w:szCs w:val="18"/>
                <w:lang w:eastAsia="cs-CZ"/>
              </w:rPr>
            </w:pPr>
            <w:r>
              <w:rPr>
                <w:rFonts w:eastAsia="Times New Roman" w:cs="Times New Roman"/>
                <w:sz w:val="18"/>
                <w:szCs w:val="18"/>
                <w:lang w:eastAsia="cs-CZ"/>
              </w:rPr>
              <w:t>Běžec</w:t>
            </w:r>
            <w:r>
              <w:rPr>
                <w:rFonts w:eastAsia="Times New Roman" w:cs="Times New Roman"/>
                <w:sz w:val="18"/>
                <w:szCs w:val="18"/>
                <w:lang w:eastAsia="cs-CZ"/>
              </w:rPr>
              <w:br/>
              <w:t>Dospělý chodec</w:t>
            </w:r>
          </w:p>
          <w:p w:rsidR="00E71814" w:rsidRDefault="00E71814" w:rsidP="006861E1">
            <w:pPr>
              <w:jc w:val="both"/>
              <w:rPr>
                <w:rFonts w:eastAsia="Times New Roman" w:cs="Times New Roman"/>
                <w:sz w:val="18"/>
                <w:szCs w:val="18"/>
                <w:lang w:eastAsia="cs-CZ"/>
              </w:rPr>
            </w:pPr>
            <w:r>
              <w:rPr>
                <w:rFonts w:eastAsia="Times New Roman" w:cs="Times New Roman"/>
                <w:sz w:val="18"/>
                <w:szCs w:val="18"/>
                <w:lang w:eastAsia="cs-CZ"/>
              </w:rPr>
              <w:lastRenderedPageBreak/>
              <w:t>Mladý chodec</w:t>
            </w:r>
          </w:p>
          <w:p w:rsidR="00E71814" w:rsidRDefault="00E71814" w:rsidP="006861E1">
            <w:pPr>
              <w:jc w:val="both"/>
              <w:rPr>
                <w:rFonts w:eastAsia="Times New Roman" w:cs="Times New Roman"/>
                <w:sz w:val="18"/>
                <w:szCs w:val="18"/>
                <w:lang w:eastAsia="cs-CZ"/>
              </w:rPr>
            </w:pPr>
            <w:r w:rsidRPr="00DA3457">
              <w:rPr>
                <w:rFonts w:eastAsia="Times New Roman" w:cs="Times New Roman"/>
                <w:sz w:val="18"/>
                <w:szCs w:val="18"/>
                <w:lang w:eastAsia="cs-CZ"/>
              </w:rPr>
              <w:t>Chode</w:t>
            </w:r>
            <w:r>
              <w:rPr>
                <w:rFonts w:eastAsia="Times New Roman" w:cs="Times New Roman"/>
                <w:sz w:val="18"/>
                <w:szCs w:val="18"/>
                <w:lang w:eastAsia="cs-CZ"/>
              </w:rPr>
              <w:t>c se zhoršenou schopností chůze</w:t>
            </w:r>
          </w:p>
          <w:p w:rsidR="00E71814" w:rsidRDefault="00E71814" w:rsidP="006861E1">
            <w:pPr>
              <w:jc w:val="both"/>
              <w:rPr>
                <w:rFonts w:eastAsia="Times New Roman" w:cs="Times New Roman"/>
                <w:sz w:val="18"/>
                <w:szCs w:val="18"/>
                <w:lang w:eastAsia="cs-CZ"/>
              </w:rPr>
            </w:pPr>
            <w:r>
              <w:rPr>
                <w:rFonts w:eastAsia="Times New Roman" w:cs="Times New Roman"/>
                <w:sz w:val="18"/>
                <w:szCs w:val="18"/>
                <w:lang w:eastAsia="cs-CZ"/>
              </w:rPr>
              <w:t>Senioři</w:t>
            </w:r>
          </w:p>
          <w:p w:rsidR="00E71814" w:rsidRDefault="00E71814" w:rsidP="006861E1">
            <w:pPr>
              <w:jc w:val="both"/>
              <w:rPr>
                <w:rFonts w:eastAsia="Times New Roman" w:cs="Times New Roman"/>
                <w:sz w:val="18"/>
                <w:szCs w:val="18"/>
                <w:lang w:eastAsia="cs-CZ"/>
              </w:rPr>
            </w:pPr>
            <w:r>
              <w:rPr>
                <w:rFonts w:eastAsia="Times New Roman" w:cs="Times New Roman"/>
                <w:sz w:val="18"/>
                <w:szCs w:val="18"/>
                <w:lang w:eastAsia="cs-CZ"/>
              </w:rPr>
              <w:t>Chodci s vodicím psem</w:t>
            </w:r>
          </w:p>
          <w:p w:rsidR="00E71814" w:rsidRDefault="00E71814" w:rsidP="006861E1">
            <w:pPr>
              <w:jc w:val="both"/>
              <w:rPr>
                <w:rFonts w:eastAsia="Times New Roman" w:cs="Times New Roman"/>
                <w:sz w:val="18"/>
                <w:szCs w:val="18"/>
                <w:lang w:eastAsia="cs-CZ"/>
              </w:rPr>
            </w:pPr>
            <w:r w:rsidRPr="00DA3457">
              <w:rPr>
                <w:rFonts w:eastAsia="Times New Roman" w:cs="Times New Roman"/>
                <w:sz w:val="18"/>
                <w:szCs w:val="18"/>
                <w:lang w:eastAsia="cs-CZ"/>
              </w:rPr>
              <w:t>Chodci se</w:t>
            </w:r>
            <w:r>
              <w:rPr>
                <w:rFonts w:eastAsia="Times New Roman" w:cs="Times New Roman"/>
                <w:sz w:val="18"/>
                <w:szCs w:val="18"/>
                <w:lang w:eastAsia="cs-CZ"/>
              </w:rPr>
              <w:t xml:space="preserve"> zhoršenou schopností orientace</w:t>
            </w:r>
          </w:p>
          <w:p w:rsidR="00E71814" w:rsidRPr="00E71814" w:rsidRDefault="00E71814" w:rsidP="006861E1">
            <w:pPr>
              <w:jc w:val="both"/>
              <w:rPr>
                <w:rFonts w:eastAsia="Times New Roman" w:cs="Times New Roman"/>
                <w:sz w:val="18"/>
                <w:szCs w:val="18"/>
                <w:lang w:eastAsia="cs-CZ"/>
              </w:rPr>
            </w:pPr>
            <w:r w:rsidRPr="00DA3457">
              <w:rPr>
                <w:rFonts w:eastAsia="Times New Roman" w:cs="Times New Roman"/>
                <w:sz w:val="18"/>
                <w:szCs w:val="18"/>
                <w:lang w:eastAsia="cs-CZ"/>
              </w:rPr>
              <w:t>Chodci o holi</w:t>
            </w:r>
          </w:p>
        </w:tc>
      </w:tr>
      <w:tr w:rsidR="00E71814" w:rsidTr="00E71814">
        <w:tc>
          <w:tcPr>
            <w:tcW w:w="4644" w:type="dxa"/>
          </w:tcPr>
          <w:p w:rsidR="00E71814" w:rsidRDefault="00E71814" w:rsidP="006861E1">
            <w:pPr>
              <w:jc w:val="both"/>
            </w:pPr>
            <w:r w:rsidRPr="00DA3457">
              <w:rPr>
                <w:rFonts w:eastAsia="Times New Roman" w:cs="Times New Roman"/>
                <w:sz w:val="18"/>
                <w:szCs w:val="18"/>
                <w:lang w:eastAsia="cs-CZ"/>
              </w:rPr>
              <w:lastRenderedPageBreak/>
              <w:t>Využívající kolečka</w:t>
            </w:r>
          </w:p>
        </w:tc>
        <w:tc>
          <w:tcPr>
            <w:tcW w:w="4644" w:type="dxa"/>
          </w:tcPr>
          <w:p w:rsidR="00E71814" w:rsidRDefault="00E71814" w:rsidP="006861E1">
            <w:pPr>
              <w:jc w:val="both"/>
              <w:rPr>
                <w:rFonts w:eastAsia="Times New Roman" w:cs="Times New Roman"/>
                <w:sz w:val="18"/>
                <w:szCs w:val="18"/>
                <w:lang w:eastAsia="cs-CZ"/>
              </w:rPr>
            </w:pPr>
            <w:r>
              <w:rPr>
                <w:rFonts w:eastAsia="Times New Roman" w:cs="Times New Roman"/>
                <w:sz w:val="18"/>
                <w:szCs w:val="18"/>
                <w:lang w:eastAsia="cs-CZ"/>
              </w:rPr>
              <w:t>In-line bruslaři</w:t>
            </w:r>
          </w:p>
          <w:p w:rsidR="00E71814" w:rsidRDefault="00E71814" w:rsidP="006861E1">
            <w:pPr>
              <w:jc w:val="both"/>
              <w:rPr>
                <w:rFonts w:eastAsia="Times New Roman" w:cs="Times New Roman"/>
                <w:sz w:val="18"/>
                <w:szCs w:val="18"/>
                <w:lang w:eastAsia="cs-CZ"/>
              </w:rPr>
            </w:pPr>
            <w:r>
              <w:rPr>
                <w:rFonts w:eastAsia="Times New Roman" w:cs="Times New Roman"/>
                <w:sz w:val="18"/>
                <w:szCs w:val="18"/>
                <w:lang w:eastAsia="cs-CZ"/>
              </w:rPr>
              <w:t>Kolečkoví bruslaři</w:t>
            </w:r>
          </w:p>
          <w:p w:rsidR="00E71814" w:rsidRDefault="00E71814" w:rsidP="006861E1">
            <w:pPr>
              <w:jc w:val="both"/>
            </w:pPr>
            <w:r w:rsidRPr="00DA3457">
              <w:rPr>
                <w:rFonts w:eastAsia="Times New Roman" w:cs="Times New Roman"/>
                <w:sz w:val="18"/>
                <w:szCs w:val="18"/>
                <w:lang w:eastAsia="cs-CZ"/>
              </w:rPr>
              <w:t>Skateboardisté</w:t>
            </w:r>
            <w:r w:rsidRPr="00DA3457">
              <w:rPr>
                <w:rFonts w:eastAsia="Times New Roman" w:cs="Times New Roman"/>
                <w:sz w:val="18"/>
                <w:szCs w:val="18"/>
                <w:lang w:eastAsia="cs-CZ"/>
              </w:rPr>
              <w:br/>
              <w:t>Koloběžkáři</w:t>
            </w:r>
            <w:r w:rsidRPr="00DA3457">
              <w:rPr>
                <w:rFonts w:eastAsia="Times New Roman" w:cs="Times New Roman"/>
                <w:sz w:val="18"/>
                <w:szCs w:val="18"/>
                <w:lang w:eastAsia="cs-CZ"/>
              </w:rPr>
              <w:br/>
              <w:t>Chodci s kočárky</w:t>
            </w:r>
          </w:p>
        </w:tc>
      </w:tr>
      <w:tr w:rsidR="00E71814" w:rsidTr="00E71814">
        <w:tc>
          <w:tcPr>
            <w:tcW w:w="4644" w:type="dxa"/>
          </w:tcPr>
          <w:p w:rsidR="00E71814" w:rsidRDefault="00E71814" w:rsidP="006861E1">
            <w:pPr>
              <w:jc w:val="both"/>
            </w:pPr>
            <w:r w:rsidRPr="00DA3457">
              <w:rPr>
                <w:rFonts w:eastAsia="Times New Roman" w:cs="Times New Roman"/>
                <w:sz w:val="18"/>
                <w:szCs w:val="18"/>
                <w:lang w:eastAsia="cs-CZ"/>
              </w:rPr>
              <w:t>S omezenou schopností pohybu</w:t>
            </w:r>
          </w:p>
        </w:tc>
        <w:tc>
          <w:tcPr>
            <w:tcW w:w="4644" w:type="dxa"/>
            <w:vAlign w:val="center"/>
          </w:tcPr>
          <w:p w:rsidR="00E71814" w:rsidRPr="00DA3457" w:rsidRDefault="00E71814" w:rsidP="00E5308A">
            <w:pPr>
              <w:rPr>
                <w:rFonts w:eastAsia="Times New Roman" w:cs="Times New Roman"/>
                <w:sz w:val="18"/>
                <w:szCs w:val="18"/>
                <w:lang w:eastAsia="cs-CZ"/>
              </w:rPr>
            </w:pPr>
            <w:r w:rsidRPr="00DA3457">
              <w:rPr>
                <w:rFonts w:eastAsia="Times New Roman" w:cs="Times New Roman"/>
                <w:sz w:val="18"/>
                <w:szCs w:val="18"/>
                <w:lang w:eastAsia="cs-CZ"/>
              </w:rPr>
              <w:t>Chodci na vozíku na manuální pohon</w:t>
            </w:r>
            <w:r w:rsidRPr="00DA3457">
              <w:rPr>
                <w:rFonts w:eastAsia="Times New Roman" w:cs="Times New Roman"/>
                <w:sz w:val="18"/>
                <w:szCs w:val="18"/>
                <w:lang w:eastAsia="cs-CZ"/>
              </w:rPr>
              <w:br/>
              <w:t>Chodci na vozíku na elektrický pohon</w:t>
            </w:r>
            <w:r w:rsidRPr="00DA3457">
              <w:rPr>
                <w:rFonts w:eastAsia="Times New Roman" w:cs="Times New Roman"/>
                <w:sz w:val="18"/>
                <w:szCs w:val="18"/>
                <w:lang w:eastAsia="cs-CZ"/>
              </w:rPr>
              <w:br/>
              <w:t>Chodci s chodítkem</w:t>
            </w:r>
            <w:r w:rsidRPr="00DA3457">
              <w:rPr>
                <w:rFonts w:eastAsia="Times New Roman" w:cs="Times New Roman"/>
                <w:sz w:val="18"/>
                <w:szCs w:val="18"/>
                <w:lang w:eastAsia="cs-CZ"/>
              </w:rPr>
              <w:br/>
              <w:t>Chodci na skútru</w:t>
            </w:r>
          </w:p>
        </w:tc>
      </w:tr>
    </w:tbl>
    <w:p w:rsidR="000E5173" w:rsidRPr="000E5173" w:rsidRDefault="000E5173" w:rsidP="000360DE">
      <w:pPr>
        <w:jc w:val="center"/>
      </w:pPr>
      <w:r w:rsidRPr="000E5173">
        <w:rPr>
          <w:rStyle w:val="Zvraznn"/>
        </w:rPr>
        <w:t xml:space="preserve">Tab. </w:t>
      </w:r>
      <w:r w:rsidR="00CC53AC">
        <w:rPr>
          <w:rStyle w:val="Zvraznn"/>
        </w:rPr>
        <w:t>2</w:t>
      </w:r>
      <w:r w:rsidRPr="000E5173">
        <w:rPr>
          <w:rStyle w:val="Zvraznn"/>
        </w:rPr>
        <w:t xml:space="preserve"> – Jednotlivé druhy a kategorie chodců</w:t>
      </w:r>
      <w:r w:rsidRPr="000E5173">
        <w:rPr>
          <w:i/>
          <w:iCs/>
        </w:rPr>
        <w:br/>
      </w:r>
      <w:r w:rsidRPr="000E5173">
        <w:rPr>
          <w:rStyle w:val="Zvraznn"/>
        </w:rPr>
        <w:t xml:space="preserve">(zdroj: </w:t>
      </w:r>
      <w:r w:rsidR="00E56F05">
        <w:rPr>
          <w:rStyle w:val="Zvraznn"/>
        </w:rPr>
        <w:t>NZTA, 2007</w:t>
      </w:r>
      <w:r w:rsidRPr="000E5173">
        <w:rPr>
          <w:rStyle w:val="Zvraznn"/>
        </w:rPr>
        <w:t>)</w:t>
      </w:r>
    </w:p>
    <w:p w:rsidR="00D736E4" w:rsidRPr="00DA3457" w:rsidRDefault="00DF4779" w:rsidP="00E03452">
      <w:pPr>
        <w:jc w:val="both"/>
      </w:pPr>
      <w:r>
        <w:t>Pro zjištění aktuálního stavu pěší dopravy</w:t>
      </w:r>
      <w:r w:rsidR="00F45A5D">
        <w:t xml:space="preserve"> </w:t>
      </w:r>
      <w:r>
        <w:t xml:space="preserve">(zejména intenzity dopravy na pásech pro pěší či na přechodech pro chodce) </w:t>
      </w:r>
      <w:r w:rsidR="00F45A5D">
        <w:t xml:space="preserve">a následné plánování </w:t>
      </w:r>
      <w:r>
        <w:t>se provádějí různé specializované dopravní průzkumy.</w:t>
      </w:r>
      <w:r w:rsidR="00F45A5D">
        <w:t xml:space="preserve"> Pro stanovení intenzit pěší dopravy z krátkodobého p</w:t>
      </w:r>
      <w:r w:rsidR="000360DE">
        <w:t>růzkumu slouží metodika obsažená</w:t>
      </w:r>
      <w:r w:rsidR="00F45A5D">
        <w:t xml:space="preserve"> v Technických podmínkách</w:t>
      </w:r>
      <w:r w:rsidR="000360DE">
        <w:t xml:space="preserve"> č. 189 (TP189). Na základě počtu chodců v profilu komunikace pro pěší získaných během dopravního průzkumu (minimálně 4 hodiny v dopravním špičkovém období v běžný pracovní den)</w:t>
      </w:r>
      <w:r w:rsidR="00DB5362">
        <w:t xml:space="preserve"> lze propočítat teoretický odhad celodenní intenzity pěší dopravy na dané komunikaci. Výpočet se provádí za pomoci přepočtových koeficientů, které byly získány z dlouhodobého </w:t>
      </w:r>
      <w:r w:rsidR="00DB5362" w:rsidRPr="00DA3457">
        <w:t>dopravního průzkumu na základě statistických metod</w:t>
      </w:r>
      <w:r w:rsidR="00E03452" w:rsidRPr="00DA3457">
        <w:t>, na základě jednoduchého vztahu</w:t>
      </w:r>
      <w:r w:rsidR="00E56F05">
        <w:t xml:space="preserve"> (TP 189, 2018)</w:t>
      </w:r>
      <w:r w:rsidR="00E03452" w:rsidRPr="00DA3457">
        <w:t>:</w:t>
      </w:r>
    </w:p>
    <w:p w:rsidR="001B0E75" w:rsidRPr="00DA3457" w:rsidRDefault="00E03452" w:rsidP="00E03452">
      <w:pPr>
        <w:tabs>
          <w:tab w:val="left" w:pos="3119"/>
          <w:tab w:val="left" w:pos="4962"/>
          <w:tab w:val="left" w:pos="8647"/>
        </w:tabs>
        <w:jc w:val="both"/>
      </w:pPr>
      <w:r w:rsidRPr="00DA3457">
        <w:rPr>
          <w:rFonts w:eastAsiaTheme="minorEastAsia"/>
        </w:rPr>
        <w:tab/>
      </w:r>
      <m:oMath>
        <m:sSub>
          <m:sSubPr>
            <m:ctrlPr>
              <w:rPr>
                <w:rFonts w:ascii="Cambria Math" w:hAnsi="Cambria Math"/>
                <w:i/>
              </w:rPr>
            </m:ctrlPr>
          </m:sSubPr>
          <m:e>
            <m:r>
              <w:rPr>
                <w:rFonts w:ascii="Cambria Math" w:hAnsi="Cambria Math"/>
              </w:rPr>
              <m:t>I</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m, d</m:t>
            </m:r>
          </m:sub>
        </m:sSub>
      </m:oMath>
      <w:r w:rsidRPr="00DA3457">
        <w:rPr>
          <w:rFonts w:eastAsiaTheme="minorEastAsia"/>
        </w:rPr>
        <w:tab/>
      </w:r>
      <w:r w:rsidRPr="00DA3457">
        <w:t>[</w:t>
      </w:r>
      <w:r w:rsidR="00D76F1A" w:rsidRPr="00DA3457">
        <w:t>ch</w:t>
      </w:r>
      <w:r w:rsidRPr="00DA3457">
        <w:t>/24 hod.]</w:t>
      </w:r>
      <w:r w:rsidR="00D76F1A" w:rsidRPr="00DA3457">
        <w:t>,</w:t>
      </w:r>
      <w:r w:rsidRPr="00DA3457">
        <w:tab/>
        <w:t>(1)</w:t>
      </w:r>
    </w:p>
    <w:p w:rsidR="00D76F1A" w:rsidRPr="00DA3457" w:rsidRDefault="00D76F1A" w:rsidP="009F52E7">
      <w:pPr>
        <w:tabs>
          <w:tab w:val="left" w:pos="3119"/>
          <w:tab w:val="left" w:pos="4962"/>
          <w:tab w:val="left" w:pos="8647"/>
        </w:tabs>
        <w:spacing w:after="120"/>
        <w:jc w:val="both"/>
        <w:rPr>
          <w:color w:val="000000" w:themeColor="text1"/>
        </w:rPr>
      </w:pPr>
      <w:r w:rsidRPr="00DA3457">
        <w:rPr>
          <w:color w:val="000000" w:themeColor="text1"/>
        </w:rPr>
        <w:t>kde:</w:t>
      </w:r>
    </w:p>
    <w:p w:rsidR="00D76F1A" w:rsidRPr="00DA3457" w:rsidRDefault="00D76F1A" w:rsidP="009F52E7">
      <w:pPr>
        <w:tabs>
          <w:tab w:val="left" w:pos="426"/>
          <w:tab w:val="left" w:pos="3119"/>
          <w:tab w:val="left" w:pos="4962"/>
          <w:tab w:val="left" w:pos="8647"/>
        </w:tabs>
        <w:spacing w:after="0"/>
        <w:jc w:val="both"/>
        <w:rPr>
          <w:color w:val="000000" w:themeColor="text1"/>
        </w:rPr>
      </w:pPr>
      <w:r w:rsidRPr="00DA3457">
        <w:rPr>
          <w:i/>
          <w:color w:val="000000" w:themeColor="text1"/>
        </w:rPr>
        <w:t>I</w:t>
      </w:r>
      <w:r w:rsidRPr="00DA3457">
        <w:rPr>
          <w:i/>
          <w:color w:val="000000" w:themeColor="text1"/>
          <w:vertAlign w:val="subscript"/>
        </w:rPr>
        <w:t>d</w:t>
      </w:r>
      <w:r w:rsidRPr="00DA3457">
        <w:rPr>
          <w:color w:val="000000" w:themeColor="text1"/>
        </w:rPr>
        <w:tab/>
        <w:t>denní intenzita pěší dopravy v den průzkumu [ch/den];</w:t>
      </w:r>
    </w:p>
    <w:p w:rsidR="00D76F1A" w:rsidRPr="00DA3457" w:rsidRDefault="00D76F1A" w:rsidP="009F52E7">
      <w:pPr>
        <w:tabs>
          <w:tab w:val="left" w:pos="426"/>
          <w:tab w:val="left" w:pos="3119"/>
          <w:tab w:val="left" w:pos="4962"/>
          <w:tab w:val="left" w:pos="8647"/>
        </w:tabs>
        <w:spacing w:after="0"/>
        <w:jc w:val="both"/>
        <w:rPr>
          <w:color w:val="000000" w:themeColor="text1"/>
        </w:rPr>
      </w:pPr>
      <w:proofErr w:type="spellStart"/>
      <w:r w:rsidRPr="00DA3457">
        <w:rPr>
          <w:i/>
          <w:color w:val="000000" w:themeColor="text1"/>
        </w:rPr>
        <w:t>I</w:t>
      </w:r>
      <w:r w:rsidRPr="00DA3457">
        <w:rPr>
          <w:i/>
          <w:color w:val="000000" w:themeColor="text1"/>
          <w:vertAlign w:val="subscript"/>
        </w:rPr>
        <w:t>m</w:t>
      </w:r>
      <w:proofErr w:type="spellEnd"/>
      <w:r w:rsidRPr="00DA3457">
        <w:rPr>
          <w:color w:val="000000" w:themeColor="text1"/>
        </w:rPr>
        <w:tab/>
        <w:t>intenzita pěší dopravy v době průzkumu [ch/doba průzkumu];</w:t>
      </w:r>
    </w:p>
    <w:p w:rsidR="00D76F1A" w:rsidRPr="00DA3457" w:rsidRDefault="00D76F1A" w:rsidP="00D76F1A">
      <w:pPr>
        <w:tabs>
          <w:tab w:val="left" w:pos="426"/>
          <w:tab w:val="left" w:pos="3119"/>
          <w:tab w:val="left" w:pos="4962"/>
          <w:tab w:val="left" w:pos="8647"/>
        </w:tabs>
        <w:ind w:left="426" w:hanging="426"/>
        <w:jc w:val="both"/>
        <w:rPr>
          <w:color w:val="000000" w:themeColor="text1"/>
        </w:rPr>
      </w:pPr>
      <w:proofErr w:type="spellStart"/>
      <w:proofErr w:type="gramStart"/>
      <w:r w:rsidRPr="00DA3457">
        <w:rPr>
          <w:i/>
          <w:color w:val="000000" w:themeColor="text1"/>
        </w:rPr>
        <w:t>K</w:t>
      </w:r>
      <w:r w:rsidRPr="00DA3457">
        <w:rPr>
          <w:i/>
          <w:color w:val="000000" w:themeColor="text1"/>
          <w:vertAlign w:val="subscript"/>
        </w:rPr>
        <w:t>m,d</w:t>
      </w:r>
      <w:proofErr w:type="spellEnd"/>
      <w:r w:rsidRPr="00DA3457">
        <w:rPr>
          <w:color w:val="000000" w:themeColor="text1"/>
          <w:vertAlign w:val="subscript"/>
        </w:rPr>
        <w:t xml:space="preserve"> </w:t>
      </w:r>
      <w:r w:rsidRPr="00DA3457">
        <w:rPr>
          <w:color w:val="000000" w:themeColor="text1"/>
        </w:rPr>
        <w:tab/>
        <w:t>Přepočtový</w:t>
      </w:r>
      <w:proofErr w:type="gramEnd"/>
      <w:r w:rsidRPr="00DA3457">
        <w:rPr>
          <w:color w:val="000000" w:themeColor="text1"/>
        </w:rPr>
        <w:t xml:space="preserve"> koeficient intenzity dopravy během doby průzkumu na denní </w:t>
      </w:r>
      <w:proofErr w:type="spellStart"/>
      <w:r w:rsidRPr="00DA3457">
        <w:rPr>
          <w:color w:val="000000" w:themeColor="text1"/>
        </w:rPr>
        <w:t>intnezitu</w:t>
      </w:r>
      <w:proofErr w:type="spellEnd"/>
      <w:r w:rsidRPr="00DA3457">
        <w:rPr>
          <w:color w:val="000000" w:themeColor="text1"/>
        </w:rPr>
        <w:t xml:space="preserve"> pěší dopravy v den průzkumu</w:t>
      </w:r>
      <w:r w:rsidR="004250D6" w:rsidRPr="00DA3457">
        <w:rPr>
          <w:color w:val="000000" w:themeColor="text1"/>
        </w:rPr>
        <w:t xml:space="preserve"> (zohlednění denních variací intenzit pěší dopravy) [-].</w:t>
      </w:r>
    </w:p>
    <w:p w:rsidR="004250D6" w:rsidRPr="00DA3457" w:rsidRDefault="004250D6" w:rsidP="00D76F1A">
      <w:pPr>
        <w:tabs>
          <w:tab w:val="left" w:pos="426"/>
          <w:tab w:val="left" w:pos="3119"/>
          <w:tab w:val="left" w:pos="4962"/>
          <w:tab w:val="left" w:pos="8647"/>
        </w:tabs>
        <w:jc w:val="both"/>
        <w:rPr>
          <w:color w:val="000000" w:themeColor="text1"/>
        </w:rPr>
      </w:pPr>
      <w:r w:rsidRPr="00DA3457">
        <w:rPr>
          <w:color w:val="000000" w:themeColor="text1"/>
        </w:rPr>
        <w:t xml:space="preserve">Hodnoty přepočtových koeficientů </w:t>
      </w:r>
      <w:proofErr w:type="spellStart"/>
      <w:proofErr w:type="gramStart"/>
      <w:r w:rsidRPr="00DA3457">
        <w:rPr>
          <w:color w:val="000000" w:themeColor="text1"/>
        </w:rPr>
        <w:t>K</w:t>
      </w:r>
      <w:r w:rsidRPr="00DA3457">
        <w:rPr>
          <w:color w:val="000000" w:themeColor="text1"/>
          <w:vertAlign w:val="subscript"/>
        </w:rPr>
        <w:t>m,d</w:t>
      </w:r>
      <w:proofErr w:type="spellEnd"/>
      <w:r w:rsidRPr="00DA3457">
        <w:rPr>
          <w:color w:val="000000" w:themeColor="text1"/>
        </w:rPr>
        <w:t xml:space="preserve"> jsou</w:t>
      </w:r>
      <w:proofErr w:type="gramEnd"/>
      <w:r w:rsidRPr="00DA3457">
        <w:rPr>
          <w:color w:val="000000" w:themeColor="text1"/>
        </w:rPr>
        <w:t xml:space="preserve"> dále získány z tabulek z příloh TP189 obsahující tzv. procentuální vyjádření hodinových intenzit na celodenní intenzitě. Hodnoty přepočtových koeficientů </w:t>
      </w:r>
      <w:proofErr w:type="spellStart"/>
      <w:proofErr w:type="gramStart"/>
      <w:r w:rsidRPr="00DA3457">
        <w:rPr>
          <w:color w:val="000000" w:themeColor="text1"/>
        </w:rPr>
        <w:t>k</w:t>
      </w:r>
      <w:r w:rsidRPr="00DA3457">
        <w:rPr>
          <w:color w:val="000000" w:themeColor="text1"/>
          <w:vertAlign w:val="subscript"/>
        </w:rPr>
        <w:t>m,d</w:t>
      </w:r>
      <w:proofErr w:type="spellEnd"/>
      <w:r w:rsidRPr="00DA3457">
        <w:rPr>
          <w:color w:val="000000" w:themeColor="text1"/>
          <w:vertAlign w:val="subscript"/>
        </w:rPr>
        <w:t xml:space="preserve"> </w:t>
      </w:r>
      <w:r w:rsidRPr="00DA3457">
        <w:rPr>
          <w:color w:val="000000" w:themeColor="text1"/>
        </w:rPr>
        <w:t>pro</w:t>
      </w:r>
      <w:proofErr w:type="gramEnd"/>
      <w:r w:rsidRPr="00DA3457">
        <w:rPr>
          <w:color w:val="000000" w:themeColor="text1"/>
        </w:rPr>
        <w:t xml:space="preserve"> libovolně zvolenou dobu průzkumu se vypočtou pomocí vztahu</w:t>
      </w:r>
      <w:r w:rsidR="00017155" w:rsidRPr="00DA3457">
        <w:rPr>
          <w:color w:val="000000" w:themeColor="text1"/>
        </w:rPr>
        <w:t xml:space="preserve"> </w:t>
      </w:r>
      <w:r w:rsidR="00E56F05">
        <w:t>(TP 189, 2018)</w:t>
      </w:r>
      <w:r w:rsidRPr="00DA3457">
        <w:rPr>
          <w:color w:val="000000" w:themeColor="text1"/>
        </w:rPr>
        <w:t xml:space="preserve">: </w:t>
      </w:r>
    </w:p>
    <w:p w:rsidR="004250D6" w:rsidRPr="00DA3457" w:rsidRDefault="004250D6" w:rsidP="004250D6">
      <w:pPr>
        <w:tabs>
          <w:tab w:val="left" w:pos="426"/>
          <w:tab w:val="left" w:pos="3119"/>
          <w:tab w:val="left" w:pos="4962"/>
          <w:tab w:val="left" w:pos="8647"/>
        </w:tabs>
        <w:jc w:val="center"/>
        <w:rPr>
          <w:color w:val="000000" w:themeColor="text1"/>
        </w:rPr>
      </w:pPr>
      <w:r w:rsidRPr="00DA3457">
        <w:rPr>
          <w:rFonts w:eastAsiaTheme="minorEastAsia"/>
          <w:color w:val="000000" w:themeColor="text1"/>
        </w:rPr>
        <w:tab/>
      </w:r>
      <w:r w:rsidRPr="00DA3457">
        <w:rPr>
          <w:rFonts w:eastAsiaTheme="minorEastAsia"/>
          <w:color w:val="000000" w:themeColor="text1"/>
        </w:rPr>
        <w:tab/>
      </w:r>
      <m:oMath>
        <m:sSub>
          <m:sSubPr>
            <m:ctrlPr>
              <w:rPr>
                <w:rFonts w:ascii="Cambria Math" w:hAnsi="Cambria Math"/>
                <w:i/>
                <w:color w:val="000000" w:themeColor="text1"/>
              </w:rPr>
            </m:ctrlPr>
          </m:sSubPr>
          <m:e>
            <m:r>
              <w:rPr>
                <w:rFonts w:ascii="Cambria Math" w:hAnsi="Cambria Math"/>
                <w:color w:val="000000" w:themeColor="text1"/>
              </w:rPr>
              <m:t xml:space="preserve"> K</m:t>
            </m:r>
          </m:e>
          <m:sub>
            <m:r>
              <w:rPr>
                <w:rFonts w:ascii="Cambria Math" w:hAnsi="Cambria Math"/>
                <w:color w:val="000000" w:themeColor="text1"/>
              </w:rPr>
              <m:t>m,d</m:t>
            </m:r>
          </m:sub>
        </m:sSub>
        <m:r>
          <w:rPr>
            <w:rFonts w:ascii="Cambria Math" w:hAnsi="Cambria Math"/>
            <w:color w:val="000000" w:themeColor="text1"/>
          </w:rPr>
          <m:t>=</m:t>
        </m:r>
        <m:f>
          <m:fPr>
            <m:ctrlPr>
              <w:rPr>
                <w:rFonts w:ascii="Cambria Math" w:hAnsi="Cambria Math"/>
                <w:i/>
                <w:color w:val="000000" w:themeColor="text1"/>
              </w:rPr>
            </m:ctrlPr>
          </m:fPr>
          <m:num>
            <m:r>
              <w:rPr>
                <w:rFonts w:ascii="Cambria Math" w:hAnsi="Cambria Math"/>
                <w:color w:val="000000" w:themeColor="text1"/>
              </w:rPr>
              <m:t>100 %</m:t>
            </m:r>
          </m:num>
          <m:den>
            <m:nary>
              <m:naryPr>
                <m:chr m:val="∑"/>
                <m:limLoc m:val="undOvr"/>
                <m:subHide m:val="1"/>
                <m:supHide m:val="1"/>
                <m:ctrlPr>
                  <w:rPr>
                    <w:rFonts w:ascii="Cambria Math" w:hAnsi="Cambria Math"/>
                    <w:i/>
                    <w:color w:val="000000" w:themeColor="text1"/>
                  </w:rPr>
                </m:ctrlPr>
              </m:naryPr>
              <m:sub/>
              <m:sup/>
              <m:e>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i</m:t>
                    </m:r>
                  </m:sub>
                  <m:sup>
                    <m:r>
                      <w:rPr>
                        <w:rFonts w:ascii="Cambria Math" w:hAnsi="Cambria Math"/>
                        <w:color w:val="000000" w:themeColor="text1"/>
                      </w:rPr>
                      <m:t>d</m:t>
                    </m:r>
                  </m:sup>
                </m:sSubSup>
              </m:e>
            </m:nary>
          </m:den>
        </m:f>
      </m:oMath>
      <w:r w:rsidRPr="00DA3457">
        <w:rPr>
          <w:rFonts w:eastAsiaTheme="minorEastAsia"/>
          <w:color w:val="000000" w:themeColor="text1"/>
        </w:rPr>
        <w:tab/>
      </w:r>
      <w:r w:rsidRPr="00DA3457">
        <w:rPr>
          <w:color w:val="000000" w:themeColor="text1"/>
        </w:rPr>
        <w:t>[-],</w:t>
      </w:r>
      <w:r w:rsidRPr="00DA3457">
        <w:rPr>
          <w:color w:val="000000" w:themeColor="text1"/>
        </w:rPr>
        <w:tab/>
        <w:t>(2)</w:t>
      </w:r>
    </w:p>
    <w:p w:rsidR="004250D6" w:rsidRPr="00DA3457" w:rsidRDefault="004250D6" w:rsidP="009F52E7">
      <w:pPr>
        <w:spacing w:after="120"/>
        <w:jc w:val="both"/>
        <w:rPr>
          <w:color w:val="000000" w:themeColor="text1"/>
        </w:rPr>
      </w:pPr>
      <w:r w:rsidRPr="00DA3457">
        <w:rPr>
          <w:color w:val="000000" w:themeColor="text1"/>
        </w:rPr>
        <w:t>kde:</w:t>
      </w:r>
    </w:p>
    <w:p w:rsidR="004250D6" w:rsidRPr="00DA3457" w:rsidRDefault="009F52E7" w:rsidP="00E03452">
      <w:pPr>
        <w:jc w:val="both"/>
        <w:rPr>
          <w:color w:val="000000" w:themeColor="text1"/>
        </w:rPr>
      </w:pPr>
      <w:proofErr w:type="spellStart"/>
      <w:r w:rsidRPr="00DA3457">
        <w:rPr>
          <w:i/>
          <w:color w:val="000000" w:themeColor="text1"/>
        </w:rPr>
        <w:t>p</w:t>
      </w:r>
      <w:r w:rsidRPr="00DA3457">
        <w:rPr>
          <w:i/>
          <w:color w:val="000000" w:themeColor="text1"/>
          <w:vertAlign w:val="superscript"/>
        </w:rPr>
        <w:t>d</w:t>
      </w:r>
      <w:r w:rsidRPr="00DA3457">
        <w:rPr>
          <w:i/>
          <w:color w:val="000000" w:themeColor="text1"/>
          <w:vertAlign w:val="subscript"/>
        </w:rPr>
        <w:t>i</w:t>
      </w:r>
      <w:proofErr w:type="spellEnd"/>
      <w:r w:rsidRPr="00DA3457">
        <w:rPr>
          <w:i/>
          <w:color w:val="000000" w:themeColor="text1"/>
        </w:rPr>
        <w:t xml:space="preserve">  </w:t>
      </w:r>
      <w:r w:rsidRPr="00DA3457">
        <w:rPr>
          <w:color w:val="000000" w:themeColor="text1"/>
        </w:rPr>
        <w:t>je součet podílů hodinových intenzit dopravy za dobu průzkumu na denní intenzitě dopravy [%]</w:t>
      </w:r>
    </w:p>
    <w:p w:rsidR="00DB5362" w:rsidRDefault="00DB5362" w:rsidP="00E03452">
      <w:pPr>
        <w:jc w:val="both"/>
      </w:pPr>
      <w:r w:rsidRPr="00DA3457">
        <w:t>Metodika (TP</w:t>
      </w:r>
      <w:r w:rsidR="00E56F05">
        <w:t xml:space="preserve"> </w:t>
      </w:r>
      <w:r w:rsidRPr="00DA3457">
        <w:t>189) stanovuje i pravidla a jiné náležitosti provedení průzkumu pěší dopravy. Zejména časy (nejlépe mezi 13:00 a 17:00 v běžný pracovní den) a období provedení dopravního průzkumu, ale i a nutnost provedení průzkumu za přívětivých povětrnostních podmínek. Pokud byl</w:t>
      </w:r>
      <w:r>
        <w:t xml:space="preserve"> průzkum proveden za nevhodných povětrnostních podmínek, lze však výsledky průzkumu odborně navýšit.</w:t>
      </w:r>
    </w:p>
    <w:p w:rsidR="00FC297B" w:rsidRDefault="00FC297B" w:rsidP="00D736E4"/>
    <w:p w:rsidR="00FB31D8" w:rsidRDefault="00FB31D8" w:rsidP="005F36C5">
      <w:pPr>
        <w:rPr>
          <w:b/>
        </w:rPr>
      </w:pPr>
    </w:p>
    <w:p w:rsidR="001468F3" w:rsidRPr="00F03B3F" w:rsidRDefault="00F03B3F" w:rsidP="00FB31D8">
      <w:pPr>
        <w:jc w:val="both"/>
        <w:rPr>
          <w:b/>
        </w:rPr>
      </w:pPr>
      <w:r w:rsidRPr="00F03B3F">
        <w:rPr>
          <w:b/>
        </w:rPr>
        <w:lastRenderedPageBreak/>
        <w:t>Sledování dopravního chování obyvatel</w:t>
      </w:r>
    </w:p>
    <w:p w:rsidR="00F03B3F" w:rsidRDefault="00F03B3F" w:rsidP="00FB31D8">
      <w:pPr>
        <w:jc w:val="both"/>
      </w:pPr>
      <w:r>
        <w:t xml:space="preserve">Pro potřeby vytváření modelů, kde je možné simulovat dopravní procesy a stanovovat scénáře, a pro potřeby získání určitého statistického vzorku (stanovení vzorce dopravního chování) se realizují průzkumy mezi obyvateli daného území. </w:t>
      </w:r>
      <w:r w:rsidR="0054178E">
        <w:t>V dnešní době je pro dopravní plánování v územních celcích toto sledování dopravního chování obyvatel</w:t>
      </w:r>
      <w:r>
        <w:t xml:space="preserve"> </w:t>
      </w:r>
      <w:r w:rsidR="0054178E">
        <w:t>účinným a efektivním nástrojem.</w:t>
      </w:r>
    </w:p>
    <w:p w:rsidR="0054178E" w:rsidRDefault="0054178E" w:rsidP="00FB31D8">
      <w:pPr>
        <w:jc w:val="both"/>
      </w:pPr>
      <w:r>
        <w:t>Počátek a</w:t>
      </w:r>
      <w:r w:rsidRPr="0054178E">
        <w:t>nalytick</w:t>
      </w:r>
      <w:r>
        <w:t>ých prací</w:t>
      </w:r>
      <w:r w:rsidRPr="0054178E">
        <w:t xml:space="preserve"> </w:t>
      </w:r>
      <w:r>
        <w:t>uceleného vzorku dat o dopravním chování obyvatel</w:t>
      </w:r>
      <w:r w:rsidRPr="0054178E">
        <w:t xml:space="preserve"> lze datovat </w:t>
      </w:r>
      <w:r w:rsidR="00A26429">
        <w:t xml:space="preserve">od </w:t>
      </w:r>
      <w:r>
        <w:t xml:space="preserve">30. </w:t>
      </w:r>
      <w:r w:rsidR="00A26429">
        <w:t>l</w:t>
      </w:r>
      <w:r>
        <w:t xml:space="preserve">et 20. století, </w:t>
      </w:r>
      <w:r w:rsidR="00A26429">
        <w:t xml:space="preserve">kdy </w:t>
      </w:r>
      <w:proofErr w:type="spellStart"/>
      <w:r w:rsidRPr="0054178E">
        <w:t>Liepmann</w:t>
      </w:r>
      <w:proofErr w:type="spellEnd"/>
      <w:r w:rsidRPr="0054178E">
        <w:t xml:space="preserve"> </w:t>
      </w:r>
      <w:r w:rsidR="00A26429">
        <w:t xml:space="preserve">(1945) </w:t>
      </w:r>
      <w:r w:rsidRPr="0054178E">
        <w:t xml:space="preserve">analyzoval údaje o cestování pracovníků v Anglii ve 30. letech 20. století. </w:t>
      </w:r>
      <w:r w:rsidR="00A26429">
        <w:t xml:space="preserve">Mnoho současných aktuálních témat a pojmů bylo popsáno právě </w:t>
      </w:r>
      <w:proofErr w:type="spellStart"/>
      <w:r w:rsidR="00A26429">
        <w:t>Liepmannem</w:t>
      </w:r>
      <w:proofErr w:type="spellEnd"/>
      <w:r w:rsidR="00A26429">
        <w:t xml:space="preserve"> ve své práci – analýzou dat sledoval např.</w:t>
      </w:r>
      <w:r w:rsidRPr="0054178E">
        <w:t xml:space="preserve"> čas strávený</w:t>
      </w:r>
      <w:r w:rsidR="00A26429">
        <w:t xml:space="preserve"> cestováním do práce</w:t>
      </w:r>
      <w:r w:rsidRPr="0054178E">
        <w:t xml:space="preserve">, sdílení jízd </w:t>
      </w:r>
      <w:r w:rsidR="00A26429">
        <w:t>(</w:t>
      </w:r>
      <w:proofErr w:type="spellStart"/>
      <w:r w:rsidR="00A26429">
        <w:t>ride-share</w:t>
      </w:r>
      <w:proofErr w:type="spellEnd"/>
      <w:r w:rsidR="00A26429">
        <w:t xml:space="preserve">) </w:t>
      </w:r>
      <w:r w:rsidRPr="0054178E">
        <w:t>a</w:t>
      </w:r>
      <w:r w:rsidR="00A26429">
        <w:t>pod</w:t>
      </w:r>
      <w:r w:rsidRPr="0054178E">
        <w:t xml:space="preserve">. </w:t>
      </w:r>
      <w:r w:rsidR="00A26429">
        <w:t>Od 50. let 20. století se sledování dopravního chování obyvatel stává mezi vědeckou obcí stále aktuálnějším tématem, jak se rozrůstají možnosti v oblasti výběru dopravního modu, zrychlování dopravy</w:t>
      </w:r>
      <w:r w:rsidR="006174C5">
        <w:t>, používání silničních dopravních prostředků</w:t>
      </w:r>
      <w:r w:rsidR="00A26429">
        <w:t xml:space="preserve"> apod. </w:t>
      </w:r>
      <w:r w:rsidR="006174C5">
        <w:t>V</w:t>
      </w:r>
      <w:r w:rsidRPr="0054178E">
        <w:t xml:space="preserve"> 70. </w:t>
      </w:r>
      <w:proofErr w:type="gramStart"/>
      <w:r w:rsidR="006174C5" w:rsidRPr="0054178E">
        <w:t>L</w:t>
      </w:r>
      <w:r w:rsidRPr="0054178E">
        <w:t>etech</w:t>
      </w:r>
      <w:proofErr w:type="gramEnd"/>
      <w:r w:rsidR="006174C5">
        <w:t xml:space="preserve"> vznikla dokonce i mezinárodní asociace pro výzkum dopravního chování (International </w:t>
      </w:r>
      <w:proofErr w:type="spellStart"/>
      <w:r w:rsidR="006174C5">
        <w:t>Association</w:t>
      </w:r>
      <w:proofErr w:type="spellEnd"/>
      <w:r w:rsidR="006174C5">
        <w:t xml:space="preserve"> </w:t>
      </w:r>
      <w:proofErr w:type="spellStart"/>
      <w:r w:rsidR="006174C5">
        <w:t>for</w:t>
      </w:r>
      <w:proofErr w:type="spellEnd"/>
      <w:r w:rsidR="006174C5">
        <w:t xml:space="preserve"> </w:t>
      </w:r>
      <w:proofErr w:type="spellStart"/>
      <w:r w:rsidR="006174C5">
        <w:t>Travel</w:t>
      </w:r>
      <w:proofErr w:type="spellEnd"/>
      <w:r w:rsidR="006174C5">
        <w:t xml:space="preserve"> </w:t>
      </w:r>
      <w:proofErr w:type="spellStart"/>
      <w:r w:rsidR="006174C5">
        <w:t>Behaviour</w:t>
      </w:r>
      <w:proofErr w:type="spellEnd"/>
      <w:r w:rsidR="006174C5">
        <w:t xml:space="preserve"> </w:t>
      </w:r>
      <w:proofErr w:type="spellStart"/>
      <w:r w:rsidR="006174C5">
        <w:t>Research</w:t>
      </w:r>
      <w:proofErr w:type="spellEnd"/>
      <w:r w:rsidR="006174C5">
        <w:t>)</w:t>
      </w:r>
      <w:r w:rsidRPr="0054178E">
        <w:t xml:space="preserve">. </w:t>
      </w:r>
      <w:r w:rsidR="00B33304">
        <w:t xml:space="preserve">Data sbírána pro účely dopravního plánování ale sloužila i pro analýzy v jiných oborech, jako je ekonomika, regionální rozvoj, </w:t>
      </w:r>
      <w:proofErr w:type="gramStart"/>
      <w:r w:rsidR="00B33304">
        <w:t>sociálně</w:t>
      </w:r>
      <w:proofErr w:type="gramEnd"/>
      <w:r w:rsidR="00B33304">
        <w:t xml:space="preserve"> –</w:t>
      </w:r>
      <w:proofErr w:type="gramStart"/>
      <w:r w:rsidR="00B33304">
        <w:t>demografické</w:t>
      </w:r>
      <w:proofErr w:type="gramEnd"/>
      <w:r w:rsidR="00B33304">
        <w:t xml:space="preserve"> vědy aj. Torsten </w:t>
      </w:r>
      <w:proofErr w:type="spellStart"/>
      <w:r w:rsidRPr="0054178E">
        <w:t>Hagerstrand</w:t>
      </w:r>
      <w:proofErr w:type="spellEnd"/>
      <w:r w:rsidRPr="0054178E">
        <w:t xml:space="preserve"> (1970) vyvinul analýzu času a prostoru</w:t>
      </w:r>
      <w:r w:rsidR="00B33304">
        <w:t xml:space="preserve"> (</w:t>
      </w:r>
      <w:proofErr w:type="spellStart"/>
      <w:r w:rsidR="00B33304">
        <w:t>Time</w:t>
      </w:r>
      <w:proofErr w:type="spellEnd"/>
      <w:r w:rsidR="00B33304">
        <w:t xml:space="preserve"> </w:t>
      </w:r>
      <w:proofErr w:type="spellStart"/>
      <w:r w:rsidR="00B33304">
        <w:t>space</w:t>
      </w:r>
      <w:proofErr w:type="spellEnd"/>
      <w:r w:rsidR="00B33304">
        <w:t xml:space="preserve"> </w:t>
      </w:r>
      <w:proofErr w:type="spellStart"/>
      <w:r w:rsidR="00B33304">
        <w:t>prism</w:t>
      </w:r>
      <w:proofErr w:type="spellEnd"/>
      <w:r w:rsidR="00B33304">
        <w:t>) a zásadně ovlivnil behaviorální geografii – struktura regionu je utvářena pravidelností kroků jednotlivých aktérů v prostoru a čase.</w:t>
      </w:r>
      <w:r w:rsidR="00051E60">
        <w:t xml:space="preserve"> Další zásadní metodou pro analýzu výběru dopravního modu (M</w:t>
      </w:r>
      <w:r w:rsidR="00051E60" w:rsidRPr="00051E60">
        <w:t xml:space="preserve">ode </w:t>
      </w:r>
      <w:proofErr w:type="spellStart"/>
      <w:r w:rsidR="00051E60" w:rsidRPr="00051E60">
        <w:t>choice</w:t>
      </w:r>
      <w:proofErr w:type="spellEnd"/>
      <w:r w:rsidR="00051E60" w:rsidRPr="00051E60">
        <w:t xml:space="preserve"> </w:t>
      </w:r>
      <w:proofErr w:type="spellStart"/>
      <w:r w:rsidR="00051E60" w:rsidRPr="00051E60">
        <w:t>analy</w:t>
      </w:r>
      <w:r w:rsidR="00051E60">
        <w:t>sis</w:t>
      </w:r>
      <w:proofErr w:type="spellEnd"/>
      <w:r w:rsidR="00051E60">
        <w:t>) přispěli autoři Ben-</w:t>
      </w:r>
      <w:proofErr w:type="spellStart"/>
      <w:r w:rsidR="00051E60">
        <w:t>Akiva</w:t>
      </w:r>
      <w:proofErr w:type="spellEnd"/>
      <w:r w:rsidR="00051E60">
        <w:t xml:space="preserve"> a </w:t>
      </w:r>
      <w:proofErr w:type="spellStart"/>
      <w:r w:rsidR="00051E60">
        <w:t>Lerman</w:t>
      </w:r>
      <w:proofErr w:type="spellEnd"/>
      <w:r w:rsidR="00051E60">
        <w:t xml:space="preserve"> (1985</w:t>
      </w:r>
      <w:r w:rsidR="00051E60" w:rsidRPr="00051E60">
        <w:t>)</w:t>
      </w:r>
      <w:r w:rsidR="00051E60">
        <w:t xml:space="preserve"> k lepšímu pochopení dopravního chování obyvatel. Jiná vědecká studie </w:t>
      </w:r>
      <w:proofErr w:type="spellStart"/>
      <w:r w:rsidR="00051E60">
        <w:t>Kockelmana</w:t>
      </w:r>
      <w:proofErr w:type="spellEnd"/>
      <w:r w:rsidR="00051E60">
        <w:t xml:space="preserve"> (1997) byla zase zaměřena na determinaci a kvantifikaci vlivu území na dopravní chování obyvatel. A</w:t>
      </w:r>
      <w:r w:rsidR="00222FBA">
        <w:t>č</w:t>
      </w:r>
      <w:r w:rsidR="00051E60">
        <w:t>koliv</w:t>
      </w:r>
      <w:r w:rsidR="00051E60" w:rsidRPr="00051E60">
        <w:t xml:space="preserve"> se nejedná o </w:t>
      </w:r>
      <w:r w:rsidR="00051E60">
        <w:t xml:space="preserve">zdaleka úplný </w:t>
      </w:r>
      <w:r w:rsidR="00051E60" w:rsidRPr="00051E60">
        <w:t xml:space="preserve">seznam studií o cestovním </w:t>
      </w:r>
      <w:r w:rsidR="00051E60">
        <w:t xml:space="preserve">(dopravním) </w:t>
      </w:r>
      <w:r w:rsidR="00051E60" w:rsidRPr="00051E60">
        <w:t xml:space="preserve">chování, </w:t>
      </w:r>
      <w:r w:rsidR="00051E60">
        <w:t>demonstruje</w:t>
      </w:r>
      <w:r w:rsidR="00051E60" w:rsidRPr="00051E60">
        <w:t xml:space="preserve"> rozmanitost disciplín, které využívají </w:t>
      </w:r>
      <w:r w:rsidR="00051E60">
        <w:t>dat dopravního chování obyvatel</w:t>
      </w:r>
      <w:r w:rsidR="00051E60" w:rsidRPr="00051E60">
        <w:t>.</w:t>
      </w:r>
    </w:p>
    <w:p w:rsidR="00222FBA" w:rsidRDefault="00222FBA" w:rsidP="00FB31D8">
      <w:pPr>
        <w:jc w:val="both"/>
      </w:pPr>
      <w:r>
        <w:t>Základním nástrojem pro sběr dat o dopravním chování obyvatel jsou zejména celostátní průzkumy (např. celostátní sčítání obyvatel) nebo různé projekty používající tzv. „dení</w:t>
      </w:r>
      <w:r w:rsidR="00C44B31">
        <w:t>k cest</w:t>
      </w:r>
      <w:r>
        <w:t>“.</w:t>
      </w:r>
      <w:r w:rsidR="00C44B31">
        <w:t xml:space="preserve"> </w:t>
      </w:r>
      <w:r w:rsidR="0058646D">
        <w:t xml:space="preserve">Respondenti spolupracují na dobrovolnické bázi tak, že si zapisují pravidelně sledovaná data. </w:t>
      </w:r>
      <w:r w:rsidR="00C44B31">
        <w:t xml:space="preserve">Cílem deníku je získat od respondentů (dobrovolníků) data převážně o tom, co v daném časovém úseku používají za dopravní prostředek, jak často využívají svých cest (periodicita), jak dlouho jejich cesta trvá, kam a za jakým účelem jejich cesty směřují, </w:t>
      </w:r>
      <w:r w:rsidR="0058646D">
        <w:t xml:space="preserve">jaké jsou náklady na jejich cestu, </w:t>
      </w:r>
      <w:r w:rsidR="00C44B31">
        <w:t>aj.</w:t>
      </w:r>
      <w:r w:rsidR="0058646D">
        <w:t xml:space="preserve"> V dnešní době se objevují nové trendy, které je vhodné sledovat pomocí těchto deníků, jako je sdílení vozidel se spolupracovníky nebo s rodinou (car </w:t>
      </w:r>
      <w:proofErr w:type="spellStart"/>
      <w:r w:rsidR="0058646D">
        <w:t>sharing</w:t>
      </w:r>
      <w:proofErr w:type="spellEnd"/>
      <w:r w:rsidR="0058646D">
        <w:t xml:space="preserve">, </w:t>
      </w:r>
      <w:proofErr w:type="spellStart"/>
      <w:r w:rsidR="0058646D">
        <w:t>ride</w:t>
      </w:r>
      <w:proofErr w:type="spellEnd"/>
      <w:r w:rsidR="0058646D">
        <w:t xml:space="preserve"> </w:t>
      </w:r>
      <w:proofErr w:type="spellStart"/>
      <w:r w:rsidR="0058646D">
        <w:t>sharing</w:t>
      </w:r>
      <w:proofErr w:type="spellEnd"/>
      <w:r w:rsidR="0058646D">
        <w:t>), využívání dopravních prostředků s alternativními druhy pohonu, či dokonce míru využívání autonomních vozidel.</w:t>
      </w:r>
    </w:p>
    <w:p w:rsidR="006378E2" w:rsidRDefault="006378E2" w:rsidP="00FB31D8">
      <w:pPr>
        <w:jc w:val="both"/>
      </w:pPr>
      <w:r>
        <w:t>S rozvojem komunikačních technologií v dnešní době se</w:t>
      </w:r>
      <w:r w:rsidR="00FB31D8">
        <w:t xml:space="preserve"> deníky (a sběr dat) dokáží automatizovat či dokonce</w:t>
      </w:r>
      <w:r w:rsidR="007928D3">
        <w:t xml:space="preserve"> technologicky</w:t>
      </w:r>
      <w:r w:rsidR="00FB31D8">
        <w:t xml:space="preserve"> rozvíjet. S pomocí aplikací v mobilních telefonech jsou respondenti dokonce sledováni při svých cestách (dobrovolně) pomocí GPS, kdy je tímto způsobem získán záznam jej</w:t>
      </w:r>
      <w:r w:rsidR="007928D3">
        <w:t xml:space="preserve">ich pohybu. Uživatel následně </w:t>
      </w:r>
      <w:r w:rsidR="00FB31D8">
        <w:t>vyplní další důležité informace o své cestě (Wolf, 2000).</w:t>
      </w:r>
    </w:p>
    <w:p w:rsidR="008163DE" w:rsidRDefault="008163DE" w:rsidP="00FB31D8">
      <w:pPr>
        <w:jc w:val="both"/>
      </w:pPr>
      <w:r>
        <w:t>V Německu již 25 let funguje tzv. „panel mobility“ při Technickém institutu v Karlsruhe, který má za cíl studovat dopravní chování obyvatel, změny v čase a přicházet s návrhy pro udržitelný rozvoj dopravy a dopravní infrastruktury. Sběr dat je rovněž založen převáženě na formě deníku cest spolu s dalšími dotazníkovými průzkumy. Pravidelně jsou vydávány zprávy, kde jsou přehledným způsobem analyzována rozsáhlá statistická data.</w:t>
      </w:r>
    </w:p>
    <w:p w:rsidR="004A558B" w:rsidRDefault="004A558B" w:rsidP="00FB31D8">
      <w:pPr>
        <w:jc w:val="both"/>
        <w:rPr>
          <w:b/>
          <w:color w:val="FF0000"/>
        </w:rPr>
      </w:pPr>
    </w:p>
    <w:p w:rsidR="00782DB6" w:rsidRDefault="00782DB6" w:rsidP="00FB31D8">
      <w:pPr>
        <w:jc w:val="both"/>
        <w:rPr>
          <w:b/>
          <w:color w:val="FF0000"/>
        </w:rPr>
      </w:pPr>
    </w:p>
    <w:p w:rsidR="00782DB6" w:rsidRDefault="00782DB6" w:rsidP="00FB31D8">
      <w:pPr>
        <w:jc w:val="both"/>
        <w:rPr>
          <w:b/>
          <w:color w:val="FF0000"/>
        </w:rPr>
      </w:pPr>
    </w:p>
    <w:p w:rsidR="00842EC2" w:rsidRPr="00782DB6" w:rsidRDefault="00842EC2" w:rsidP="00FB31D8">
      <w:pPr>
        <w:jc w:val="both"/>
        <w:rPr>
          <w:b/>
          <w:color w:val="000000" w:themeColor="text1"/>
        </w:rPr>
      </w:pPr>
      <w:r w:rsidRPr="00782DB6">
        <w:rPr>
          <w:b/>
          <w:color w:val="000000" w:themeColor="text1"/>
        </w:rPr>
        <w:lastRenderedPageBreak/>
        <w:t>Možnosti modelování pěší dopravy</w:t>
      </w:r>
    </w:p>
    <w:p w:rsidR="005668A2" w:rsidRPr="00782DB6" w:rsidRDefault="005668A2" w:rsidP="005668A2">
      <w:pPr>
        <w:jc w:val="both"/>
        <w:rPr>
          <w:color w:val="000000" w:themeColor="text1"/>
        </w:rPr>
      </w:pPr>
      <w:r w:rsidRPr="00782DB6">
        <w:rPr>
          <w:color w:val="000000" w:themeColor="text1"/>
        </w:rPr>
        <w:t>Obdobně v oblasti pěší dopravy se analytici a vědečtí pracovníci zaměřují na studium pěší dopravy a modelování jejich charakteristik. Oproti modelování např. individuální motorové dopravy, která je vázána převážně na dopravní cestu, u modelování pěší dopravy na dopravní infrast</w:t>
      </w:r>
      <w:r w:rsidR="000B7F3B" w:rsidRPr="00782DB6">
        <w:rPr>
          <w:color w:val="000000" w:themeColor="text1"/>
        </w:rPr>
        <w:t>r</w:t>
      </w:r>
      <w:r w:rsidRPr="00782DB6">
        <w:rPr>
          <w:color w:val="000000" w:themeColor="text1"/>
        </w:rPr>
        <w:t>uktuře</w:t>
      </w:r>
      <w:r w:rsidR="000B7F3B" w:rsidRPr="00782DB6">
        <w:rPr>
          <w:color w:val="000000" w:themeColor="text1"/>
        </w:rPr>
        <w:t xml:space="preserve"> je přístup poněkud složitější. Velkou roli zde budou hrát i psychologické faktory u lidí.</w:t>
      </w:r>
      <w:r w:rsidR="00101ECB" w:rsidRPr="00782DB6">
        <w:rPr>
          <w:color w:val="000000" w:themeColor="text1"/>
        </w:rPr>
        <w:t xml:space="preserve"> Obecně se dá říci, že modely pěší dopravy jsou orientovány na davy lidí ve </w:t>
      </w:r>
      <w:proofErr w:type="spellStart"/>
      <w:r w:rsidR="00101ECB" w:rsidRPr="00782DB6">
        <w:rPr>
          <w:color w:val="000000" w:themeColor="text1"/>
        </w:rPr>
        <w:t>dvoudimenziálním</w:t>
      </w:r>
      <w:proofErr w:type="spellEnd"/>
      <w:r w:rsidR="00101ECB" w:rsidRPr="00782DB6">
        <w:rPr>
          <w:color w:val="000000" w:themeColor="text1"/>
        </w:rPr>
        <w:t xml:space="preserve"> prostoru.</w:t>
      </w:r>
    </w:p>
    <w:p w:rsidR="00D916DE" w:rsidRDefault="000B7F3B" w:rsidP="005668A2">
      <w:pPr>
        <w:jc w:val="both"/>
        <w:rPr>
          <w:color w:val="000000" w:themeColor="text1"/>
        </w:rPr>
      </w:pPr>
      <w:r w:rsidRPr="00782DB6">
        <w:rPr>
          <w:color w:val="000000" w:themeColor="text1"/>
        </w:rPr>
        <w:t xml:space="preserve">Za pomoci různých technik v makroskopickém, či mikroskopickém prostředí, vzniklo mnoho studií na toto téma. </w:t>
      </w:r>
      <w:r w:rsidR="00101ECB" w:rsidRPr="00782DB6">
        <w:rPr>
          <w:color w:val="000000" w:themeColor="text1"/>
        </w:rPr>
        <w:t xml:space="preserve">Následuje výčet těch nejzajímavějších. </w:t>
      </w:r>
      <w:r w:rsidRPr="00782DB6">
        <w:rPr>
          <w:color w:val="000000" w:themeColor="text1"/>
        </w:rPr>
        <w:t xml:space="preserve">Autor </w:t>
      </w:r>
      <w:proofErr w:type="spellStart"/>
      <w:r w:rsidRPr="00782DB6">
        <w:rPr>
          <w:color w:val="000000" w:themeColor="text1"/>
        </w:rPr>
        <w:t>Banerjee</w:t>
      </w:r>
      <w:proofErr w:type="spellEnd"/>
      <w:r w:rsidRPr="00782DB6">
        <w:rPr>
          <w:color w:val="000000" w:themeColor="text1"/>
        </w:rPr>
        <w:t xml:space="preserve"> (2018) se ve své práci zabýval</w:t>
      </w:r>
      <w:r w:rsidR="00101ECB" w:rsidRPr="00782DB6">
        <w:rPr>
          <w:color w:val="000000" w:themeColor="text1"/>
        </w:rPr>
        <w:t xml:space="preserve"> stanovením charakteristik proudu pěších (např. rychlost, intenzita, hustota apod.) a úrovně kvality dopravy na různých zařízeních a prvcích pro pěší dopravu (eskalátory, nepohyblivé schody, chodník v různých sklonech, stezka pro chodce apod.).</w:t>
      </w:r>
      <w:r w:rsidR="00D916DE" w:rsidRPr="00782DB6">
        <w:rPr>
          <w:color w:val="000000" w:themeColor="text1"/>
        </w:rPr>
        <w:t xml:space="preserve"> Modely založenými převážně na výběru destinace nebo trasy v městských oblastech se zabývají autoři </w:t>
      </w:r>
      <w:proofErr w:type="spellStart"/>
      <w:r w:rsidR="00D916DE" w:rsidRPr="00782DB6">
        <w:rPr>
          <w:color w:val="000000" w:themeColor="text1"/>
        </w:rPr>
        <w:t>Oyama</w:t>
      </w:r>
      <w:proofErr w:type="spellEnd"/>
      <w:r w:rsidR="00D916DE" w:rsidRPr="00782DB6">
        <w:rPr>
          <w:color w:val="000000" w:themeColor="text1"/>
        </w:rPr>
        <w:t xml:space="preserve"> a </w:t>
      </w:r>
      <w:proofErr w:type="spellStart"/>
      <w:r w:rsidR="00D916DE" w:rsidRPr="00782DB6">
        <w:rPr>
          <w:color w:val="000000" w:themeColor="text1"/>
        </w:rPr>
        <w:t>Hato</w:t>
      </w:r>
      <w:proofErr w:type="spellEnd"/>
      <w:r w:rsidR="00D916DE" w:rsidRPr="00782DB6">
        <w:rPr>
          <w:color w:val="000000" w:themeColor="text1"/>
        </w:rPr>
        <w:t xml:space="preserve"> (2018). Autoři </w:t>
      </w:r>
      <w:proofErr w:type="spellStart"/>
      <w:r w:rsidR="00D916DE" w:rsidRPr="00782DB6">
        <w:rPr>
          <w:color w:val="000000" w:themeColor="text1"/>
        </w:rPr>
        <w:t>Zhu</w:t>
      </w:r>
      <w:proofErr w:type="spellEnd"/>
      <w:r w:rsidR="00D916DE" w:rsidRPr="00782DB6">
        <w:rPr>
          <w:color w:val="000000" w:themeColor="text1"/>
        </w:rPr>
        <w:t xml:space="preserve"> a </w:t>
      </w:r>
      <w:proofErr w:type="spellStart"/>
      <w:r w:rsidR="00D916DE" w:rsidRPr="00782DB6">
        <w:rPr>
          <w:color w:val="000000" w:themeColor="text1"/>
        </w:rPr>
        <w:t>Timmermans</w:t>
      </w:r>
      <w:proofErr w:type="spellEnd"/>
      <w:r w:rsidR="00D916DE" w:rsidRPr="00782DB6">
        <w:rPr>
          <w:color w:val="000000" w:themeColor="text1"/>
        </w:rPr>
        <w:t xml:space="preserve"> (2009) zase ve své práci sledují spojitosti mezi výběrem trasy a účelem cest.</w:t>
      </w:r>
    </w:p>
    <w:p w:rsidR="00222FBA" w:rsidRDefault="00222FBA" w:rsidP="00FB31D8">
      <w:pPr>
        <w:jc w:val="both"/>
        <w:rPr>
          <w:color w:val="000000" w:themeColor="text1"/>
        </w:rPr>
      </w:pPr>
    </w:p>
    <w:p w:rsidR="00BC3061" w:rsidRDefault="00BC3061" w:rsidP="00FB31D8">
      <w:pPr>
        <w:jc w:val="both"/>
        <w:rPr>
          <w:color w:val="000000" w:themeColor="text1"/>
        </w:rPr>
      </w:pPr>
    </w:p>
    <w:p w:rsidR="00BC3061" w:rsidRDefault="00BC3061" w:rsidP="00FB31D8">
      <w:pPr>
        <w:jc w:val="both"/>
        <w:rPr>
          <w:color w:val="000000" w:themeColor="text1"/>
        </w:rPr>
      </w:pPr>
    </w:p>
    <w:p w:rsidR="00BC3061" w:rsidRDefault="00BC3061" w:rsidP="00FB31D8">
      <w:pPr>
        <w:jc w:val="both"/>
        <w:rPr>
          <w:color w:val="000000" w:themeColor="text1"/>
        </w:rPr>
      </w:pPr>
    </w:p>
    <w:p w:rsidR="00BC3061" w:rsidRDefault="00BC3061" w:rsidP="00FB31D8">
      <w:pPr>
        <w:jc w:val="both"/>
        <w:rPr>
          <w:color w:val="000000" w:themeColor="text1"/>
        </w:rPr>
      </w:pPr>
    </w:p>
    <w:p w:rsidR="00BC3061" w:rsidRDefault="00BC3061" w:rsidP="00FB31D8">
      <w:pPr>
        <w:jc w:val="both"/>
        <w:rPr>
          <w:color w:val="000000" w:themeColor="text1"/>
        </w:rPr>
      </w:pPr>
    </w:p>
    <w:p w:rsidR="00BC3061" w:rsidRDefault="00BC3061" w:rsidP="00FB31D8">
      <w:pPr>
        <w:jc w:val="both"/>
        <w:rPr>
          <w:color w:val="000000" w:themeColor="text1"/>
        </w:rPr>
      </w:pPr>
    </w:p>
    <w:p w:rsidR="00BC3061" w:rsidRDefault="00BC3061" w:rsidP="00FB31D8">
      <w:pPr>
        <w:jc w:val="both"/>
        <w:rPr>
          <w:color w:val="000000" w:themeColor="text1"/>
        </w:rPr>
      </w:pPr>
    </w:p>
    <w:p w:rsidR="00BC3061" w:rsidRDefault="00BC3061" w:rsidP="00FB31D8">
      <w:pPr>
        <w:jc w:val="both"/>
        <w:rPr>
          <w:color w:val="000000" w:themeColor="text1"/>
        </w:rPr>
      </w:pPr>
    </w:p>
    <w:p w:rsidR="00BC3061" w:rsidRDefault="00BC3061" w:rsidP="00FB31D8">
      <w:pPr>
        <w:jc w:val="both"/>
        <w:rPr>
          <w:color w:val="000000" w:themeColor="text1"/>
        </w:rPr>
      </w:pPr>
    </w:p>
    <w:p w:rsidR="00BC3061" w:rsidRDefault="00BC3061" w:rsidP="00FB31D8">
      <w:pPr>
        <w:jc w:val="both"/>
        <w:rPr>
          <w:color w:val="000000" w:themeColor="text1"/>
        </w:rPr>
      </w:pPr>
    </w:p>
    <w:p w:rsidR="00BC3061" w:rsidRDefault="00BC3061" w:rsidP="00FB31D8">
      <w:pPr>
        <w:jc w:val="both"/>
        <w:rPr>
          <w:color w:val="000000" w:themeColor="text1"/>
        </w:rPr>
      </w:pPr>
    </w:p>
    <w:p w:rsidR="00BC3061" w:rsidRDefault="00BC3061" w:rsidP="00FB31D8">
      <w:pPr>
        <w:jc w:val="both"/>
        <w:rPr>
          <w:color w:val="000000" w:themeColor="text1"/>
        </w:rPr>
      </w:pPr>
    </w:p>
    <w:p w:rsidR="00BC3061" w:rsidRDefault="00BC3061" w:rsidP="00FB31D8">
      <w:pPr>
        <w:jc w:val="both"/>
      </w:pPr>
      <w:bookmarkStart w:id="0" w:name="_GoBack"/>
      <w:bookmarkEnd w:id="0"/>
    </w:p>
    <w:p w:rsidR="00222FBA" w:rsidRPr="00782DB6" w:rsidRDefault="00782DB6" w:rsidP="00FB31D8">
      <w:pPr>
        <w:jc w:val="both"/>
        <w:rPr>
          <w:b/>
        </w:rPr>
      </w:pPr>
      <w:r w:rsidRPr="00782DB6">
        <w:rPr>
          <w:b/>
        </w:rPr>
        <w:t>Literatura</w:t>
      </w:r>
    </w:p>
    <w:p w:rsidR="00FB31D8" w:rsidRPr="00782DB6" w:rsidRDefault="00FB31D8" w:rsidP="00782DB6">
      <w:pPr>
        <w:spacing w:line="240" w:lineRule="auto"/>
        <w:jc w:val="both"/>
      </w:pPr>
      <w:r w:rsidRPr="00782DB6">
        <w:t>ČSN 73 6110. Projektování místních komunikací. Praha: Český normalizační institut, 2006, 128 s. Třídící znak 73 6110.</w:t>
      </w:r>
    </w:p>
    <w:p w:rsidR="00222FBA" w:rsidRPr="00782DB6" w:rsidRDefault="00FB31D8" w:rsidP="00782DB6">
      <w:pPr>
        <w:spacing w:line="240" w:lineRule="auto"/>
        <w:jc w:val="both"/>
      </w:pPr>
      <w:r w:rsidRPr="00782DB6">
        <w:t>TP 189 Stanovení intenzit dopravy na pozemních komunikacích (</w:t>
      </w:r>
      <w:proofErr w:type="spellStart"/>
      <w:proofErr w:type="gramStart"/>
      <w:r w:rsidRPr="00782DB6">
        <w:t>III.vydání</w:t>
      </w:r>
      <w:proofErr w:type="spellEnd"/>
      <w:proofErr w:type="gramEnd"/>
      <w:r w:rsidRPr="00782DB6">
        <w:t>), 2018.</w:t>
      </w:r>
    </w:p>
    <w:p w:rsidR="00E56F05" w:rsidRPr="00782DB6" w:rsidRDefault="00E56F05" w:rsidP="00782DB6">
      <w:pPr>
        <w:spacing w:line="240" w:lineRule="auto"/>
        <w:jc w:val="both"/>
      </w:pPr>
      <w:r w:rsidRPr="00782DB6">
        <w:t>NZTA, 2007, ‘</w:t>
      </w:r>
      <w:proofErr w:type="spellStart"/>
      <w:r w:rsidRPr="00782DB6">
        <w:t>Pedestrian</w:t>
      </w:r>
      <w:proofErr w:type="spellEnd"/>
      <w:r w:rsidRPr="00782DB6">
        <w:t xml:space="preserve"> </w:t>
      </w:r>
      <w:proofErr w:type="spellStart"/>
      <w:r w:rsidRPr="00782DB6">
        <w:t>planning</w:t>
      </w:r>
      <w:proofErr w:type="spellEnd"/>
      <w:r w:rsidRPr="00782DB6">
        <w:t xml:space="preserve"> and design </w:t>
      </w:r>
      <w:proofErr w:type="spellStart"/>
      <w:r w:rsidRPr="00782DB6">
        <w:t>guide</w:t>
      </w:r>
      <w:proofErr w:type="spellEnd"/>
      <w:r w:rsidRPr="00782DB6">
        <w:t xml:space="preserve">’, NZ Transport </w:t>
      </w:r>
      <w:proofErr w:type="spellStart"/>
      <w:r w:rsidRPr="00782DB6">
        <w:t>Agency</w:t>
      </w:r>
      <w:proofErr w:type="spellEnd"/>
      <w:r w:rsidRPr="00782DB6">
        <w:t xml:space="preserve">. </w:t>
      </w:r>
      <w:proofErr w:type="gramStart"/>
      <w:r w:rsidRPr="00782DB6">
        <w:t xml:space="preserve">Dostupné z : </w:t>
      </w:r>
      <w:hyperlink r:id="rId6" w:history="1">
        <w:r w:rsidRPr="00782DB6">
          <w:rPr>
            <w:rStyle w:val="Hypertextovodkaz"/>
          </w:rPr>
          <w:t>https</w:t>
        </w:r>
        <w:proofErr w:type="gramEnd"/>
        <w:r w:rsidRPr="00782DB6">
          <w:rPr>
            <w:rStyle w:val="Hypertextovodkaz"/>
          </w:rPr>
          <w:t>://www.walk21.com/</w:t>
        </w:r>
      </w:hyperlink>
    </w:p>
    <w:p w:rsidR="00051E60" w:rsidRPr="00782DB6" w:rsidRDefault="00222FBA" w:rsidP="00782DB6">
      <w:pPr>
        <w:spacing w:line="240" w:lineRule="auto"/>
        <w:jc w:val="both"/>
      </w:pPr>
      <w:proofErr w:type="spellStart"/>
      <w:r w:rsidRPr="00782DB6">
        <w:t>Liepmann</w:t>
      </w:r>
      <w:proofErr w:type="spellEnd"/>
      <w:r w:rsidRPr="00782DB6">
        <w:t xml:space="preserve">, K. K. (1945). </w:t>
      </w:r>
      <w:proofErr w:type="spellStart"/>
      <w:r w:rsidRPr="00782DB6">
        <w:t>The</w:t>
      </w:r>
      <w:proofErr w:type="spellEnd"/>
      <w:r w:rsidRPr="00782DB6">
        <w:t xml:space="preserve"> </w:t>
      </w:r>
      <w:proofErr w:type="spellStart"/>
      <w:r w:rsidRPr="00782DB6">
        <w:t>Journey</w:t>
      </w:r>
      <w:proofErr w:type="spellEnd"/>
      <w:r w:rsidRPr="00782DB6">
        <w:t xml:space="preserve"> to </w:t>
      </w:r>
      <w:proofErr w:type="spellStart"/>
      <w:r w:rsidRPr="00782DB6">
        <w:t>work</w:t>
      </w:r>
      <w:proofErr w:type="spellEnd"/>
      <w:r w:rsidRPr="00782DB6">
        <w:t xml:space="preserve">. </w:t>
      </w:r>
      <w:proofErr w:type="spellStart"/>
      <w:r w:rsidRPr="00782DB6">
        <w:t>Kegan</w:t>
      </w:r>
      <w:proofErr w:type="spellEnd"/>
      <w:r w:rsidRPr="00782DB6">
        <w:t xml:space="preserve">, </w:t>
      </w:r>
      <w:proofErr w:type="spellStart"/>
      <w:r w:rsidRPr="00782DB6">
        <w:t>Trench</w:t>
      </w:r>
      <w:proofErr w:type="spellEnd"/>
      <w:r w:rsidRPr="00782DB6">
        <w:t xml:space="preserve">, </w:t>
      </w:r>
      <w:proofErr w:type="spellStart"/>
      <w:r w:rsidRPr="00782DB6">
        <w:t>Trubner</w:t>
      </w:r>
      <w:proofErr w:type="spellEnd"/>
    </w:p>
    <w:p w:rsidR="00222FBA" w:rsidRPr="00782DB6" w:rsidRDefault="00222FBA" w:rsidP="00782DB6">
      <w:pPr>
        <w:spacing w:line="240" w:lineRule="auto"/>
        <w:jc w:val="both"/>
      </w:pPr>
      <w:proofErr w:type="spellStart"/>
      <w:r w:rsidRPr="00782DB6">
        <w:t>Hägerstraand</w:t>
      </w:r>
      <w:proofErr w:type="spellEnd"/>
      <w:r w:rsidRPr="00782DB6">
        <w:t xml:space="preserve">, T. (1970). </w:t>
      </w:r>
      <w:proofErr w:type="spellStart"/>
      <w:r w:rsidRPr="00782DB6">
        <w:t>What</w:t>
      </w:r>
      <w:proofErr w:type="spellEnd"/>
      <w:r w:rsidRPr="00782DB6">
        <w:t xml:space="preserve"> </w:t>
      </w:r>
      <w:proofErr w:type="spellStart"/>
      <w:r w:rsidRPr="00782DB6">
        <w:t>about</w:t>
      </w:r>
      <w:proofErr w:type="spellEnd"/>
      <w:r w:rsidRPr="00782DB6">
        <w:t xml:space="preserve"> </w:t>
      </w:r>
      <w:proofErr w:type="spellStart"/>
      <w:r w:rsidRPr="00782DB6">
        <w:t>people</w:t>
      </w:r>
      <w:proofErr w:type="spellEnd"/>
      <w:r w:rsidRPr="00782DB6">
        <w:t xml:space="preserve"> in </w:t>
      </w:r>
      <w:proofErr w:type="spellStart"/>
      <w:r w:rsidRPr="00782DB6">
        <w:t>regional</w:t>
      </w:r>
      <w:proofErr w:type="spellEnd"/>
      <w:r w:rsidRPr="00782DB6">
        <w:t xml:space="preserve"> science? </w:t>
      </w:r>
      <w:proofErr w:type="spellStart"/>
      <w:r w:rsidRPr="00782DB6">
        <w:t>Papers</w:t>
      </w:r>
      <w:proofErr w:type="spellEnd"/>
      <w:r w:rsidRPr="00782DB6">
        <w:t xml:space="preserve"> in </w:t>
      </w:r>
      <w:proofErr w:type="spellStart"/>
      <w:r w:rsidRPr="00782DB6">
        <w:t>regional</w:t>
      </w:r>
      <w:proofErr w:type="spellEnd"/>
      <w:r w:rsidRPr="00782DB6">
        <w:t xml:space="preserve"> science, 24(1):7–24.</w:t>
      </w:r>
    </w:p>
    <w:p w:rsidR="00222FBA" w:rsidRPr="00782DB6" w:rsidRDefault="00222FBA" w:rsidP="00782DB6">
      <w:pPr>
        <w:spacing w:line="240" w:lineRule="auto"/>
        <w:jc w:val="both"/>
      </w:pPr>
      <w:r w:rsidRPr="00782DB6">
        <w:lastRenderedPageBreak/>
        <w:t>Ben-</w:t>
      </w:r>
      <w:proofErr w:type="spellStart"/>
      <w:r w:rsidRPr="00782DB6">
        <w:t>Akiva</w:t>
      </w:r>
      <w:proofErr w:type="spellEnd"/>
      <w:r w:rsidRPr="00782DB6">
        <w:t xml:space="preserve">, M. E. </w:t>
      </w:r>
      <w:proofErr w:type="gramStart"/>
      <w:r w:rsidRPr="00782DB6">
        <w:t>and</w:t>
      </w:r>
      <w:proofErr w:type="gramEnd"/>
      <w:r w:rsidRPr="00782DB6">
        <w:t xml:space="preserve"> </w:t>
      </w:r>
      <w:proofErr w:type="spellStart"/>
      <w:r w:rsidRPr="00782DB6">
        <w:t>Lerman</w:t>
      </w:r>
      <w:proofErr w:type="spellEnd"/>
      <w:r w:rsidRPr="00782DB6">
        <w:t xml:space="preserve">, S. R. (1985). </w:t>
      </w:r>
      <w:proofErr w:type="spellStart"/>
      <w:r w:rsidRPr="00782DB6">
        <w:t>Discrete</w:t>
      </w:r>
      <w:proofErr w:type="spellEnd"/>
      <w:r w:rsidRPr="00782DB6">
        <w:t xml:space="preserve"> </w:t>
      </w:r>
      <w:proofErr w:type="spellStart"/>
      <w:r w:rsidRPr="00782DB6">
        <w:t>choice</w:t>
      </w:r>
      <w:proofErr w:type="spellEnd"/>
      <w:r w:rsidRPr="00782DB6">
        <w:t xml:space="preserve"> </w:t>
      </w:r>
      <w:proofErr w:type="spellStart"/>
      <w:r w:rsidRPr="00782DB6">
        <w:t>analysis</w:t>
      </w:r>
      <w:proofErr w:type="spellEnd"/>
      <w:r w:rsidRPr="00782DB6">
        <w:t xml:space="preserve">: </w:t>
      </w:r>
      <w:proofErr w:type="spellStart"/>
      <w:r w:rsidRPr="00782DB6">
        <w:t>theory</w:t>
      </w:r>
      <w:proofErr w:type="spellEnd"/>
      <w:r w:rsidRPr="00782DB6">
        <w:t xml:space="preserve"> and </w:t>
      </w:r>
      <w:proofErr w:type="spellStart"/>
      <w:r w:rsidRPr="00782DB6">
        <w:t>application</w:t>
      </w:r>
      <w:proofErr w:type="spellEnd"/>
      <w:r w:rsidRPr="00782DB6">
        <w:t xml:space="preserve"> to </w:t>
      </w:r>
      <w:proofErr w:type="spellStart"/>
      <w:r w:rsidRPr="00782DB6">
        <w:t>travel</w:t>
      </w:r>
      <w:proofErr w:type="spellEnd"/>
      <w:r w:rsidRPr="00782DB6">
        <w:t xml:space="preserve"> </w:t>
      </w:r>
      <w:proofErr w:type="spellStart"/>
      <w:r w:rsidRPr="00782DB6">
        <w:t>demand</w:t>
      </w:r>
      <w:proofErr w:type="spellEnd"/>
      <w:r w:rsidRPr="00782DB6">
        <w:t xml:space="preserve">, </w:t>
      </w:r>
      <w:proofErr w:type="spellStart"/>
      <w:r w:rsidRPr="00782DB6">
        <w:t>volume</w:t>
      </w:r>
      <w:proofErr w:type="spellEnd"/>
      <w:r w:rsidRPr="00782DB6">
        <w:t xml:space="preserve"> 9. MIT </w:t>
      </w:r>
      <w:proofErr w:type="spellStart"/>
      <w:r w:rsidRPr="00782DB6">
        <w:t>press</w:t>
      </w:r>
      <w:proofErr w:type="spellEnd"/>
      <w:r w:rsidRPr="00782DB6">
        <w:t>.</w:t>
      </w:r>
    </w:p>
    <w:p w:rsidR="00051E60" w:rsidRPr="00782DB6" w:rsidRDefault="00051E60" w:rsidP="00782DB6">
      <w:pPr>
        <w:spacing w:line="240" w:lineRule="auto"/>
        <w:jc w:val="both"/>
        <w:rPr>
          <w:color w:val="000000" w:themeColor="text1"/>
        </w:rPr>
      </w:pPr>
      <w:proofErr w:type="spellStart"/>
      <w:r w:rsidRPr="00782DB6">
        <w:t>Kockelman</w:t>
      </w:r>
      <w:proofErr w:type="spellEnd"/>
      <w:r w:rsidRPr="00782DB6">
        <w:t xml:space="preserve">, K. (1997). </w:t>
      </w:r>
      <w:proofErr w:type="spellStart"/>
      <w:r w:rsidRPr="00782DB6">
        <w:t>Travel</w:t>
      </w:r>
      <w:proofErr w:type="spellEnd"/>
      <w:r w:rsidRPr="00782DB6">
        <w:t xml:space="preserve"> </w:t>
      </w:r>
      <w:proofErr w:type="spellStart"/>
      <w:r w:rsidRPr="00782DB6">
        <w:t>behavior</w:t>
      </w:r>
      <w:proofErr w:type="spellEnd"/>
      <w:r w:rsidRPr="00782DB6">
        <w:t xml:space="preserve"> as </w:t>
      </w:r>
      <w:proofErr w:type="spellStart"/>
      <w:r w:rsidRPr="00782DB6">
        <w:t>function</w:t>
      </w:r>
      <w:proofErr w:type="spellEnd"/>
      <w:r w:rsidRPr="00782DB6">
        <w:t xml:space="preserve"> </w:t>
      </w:r>
      <w:proofErr w:type="spellStart"/>
      <w:r w:rsidRPr="00782DB6">
        <w:t>of</w:t>
      </w:r>
      <w:proofErr w:type="spellEnd"/>
      <w:r w:rsidRPr="00782DB6">
        <w:t xml:space="preserve"> </w:t>
      </w:r>
      <w:proofErr w:type="spellStart"/>
      <w:r w:rsidRPr="00782DB6">
        <w:t>accessibility</w:t>
      </w:r>
      <w:proofErr w:type="spellEnd"/>
      <w:r w:rsidRPr="00782DB6">
        <w:t xml:space="preserve">, </w:t>
      </w:r>
      <w:proofErr w:type="spellStart"/>
      <w:r w:rsidRPr="00782DB6">
        <w:t>land</w:t>
      </w:r>
      <w:proofErr w:type="spellEnd"/>
      <w:r w:rsidRPr="00782DB6">
        <w:t xml:space="preserve"> use </w:t>
      </w:r>
      <w:proofErr w:type="spellStart"/>
      <w:r w:rsidRPr="00782DB6">
        <w:t>mixing</w:t>
      </w:r>
      <w:proofErr w:type="spellEnd"/>
      <w:r w:rsidRPr="00782DB6">
        <w:t xml:space="preserve">, and </w:t>
      </w:r>
      <w:proofErr w:type="spellStart"/>
      <w:r w:rsidRPr="00782DB6">
        <w:t>land</w:t>
      </w:r>
      <w:proofErr w:type="spellEnd"/>
      <w:r w:rsidRPr="00782DB6">
        <w:t xml:space="preserve"> use </w:t>
      </w:r>
      <w:r w:rsidRPr="00782DB6">
        <w:rPr>
          <w:color w:val="000000" w:themeColor="text1"/>
        </w:rPr>
        <w:t xml:space="preserve">balance: evidence </w:t>
      </w:r>
      <w:proofErr w:type="spellStart"/>
      <w:r w:rsidRPr="00782DB6">
        <w:rPr>
          <w:color w:val="000000" w:themeColor="text1"/>
        </w:rPr>
        <w:t>from</w:t>
      </w:r>
      <w:proofErr w:type="spellEnd"/>
      <w:r w:rsidRPr="00782DB6">
        <w:rPr>
          <w:color w:val="000000" w:themeColor="text1"/>
        </w:rPr>
        <w:t xml:space="preserve"> San Francisco </w:t>
      </w:r>
      <w:proofErr w:type="spellStart"/>
      <w:r w:rsidRPr="00782DB6">
        <w:rPr>
          <w:color w:val="000000" w:themeColor="text1"/>
        </w:rPr>
        <w:t>Bay</w:t>
      </w:r>
      <w:proofErr w:type="spellEnd"/>
      <w:r w:rsidRPr="00782DB6">
        <w:rPr>
          <w:color w:val="000000" w:themeColor="text1"/>
        </w:rPr>
        <w:t xml:space="preserve"> Area. </w:t>
      </w:r>
      <w:proofErr w:type="spellStart"/>
      <w:r w:rsidRPr="00782DB6">
        <w:rPr>
          <w:color w:val="000000" w:themeColor="text1"/>
        </w:rPr>
        <w:t>Transportation</w:t>
      </w:r>
      <w:proofErr w:type="spellEnd"/>
      <w:r w:rsidRPr="00782DB6">
        <w:rPr>
          <w:color w:val="000000" w:themeColor="text1"/>
        </w:rPr>
        <w:t xml:space="preserve"> </w:t>
      </w:r>
      <w:proofErr w:type="spellStart"/>
      <w:r w:rsidRPr="00782DB6">
        <w:rPr>
          <w:color w:val="000000" w:themeColor="text1"/>
        </w:rPr>
        <w:t>Research</w:t>
      </w:r>
      <w:proofErr w:type="spellEnd"/>
      <w:r w:rsidRPr="00782DB6">
        <w:rPr>
          <w:color w:val="000000" w:themeColor="text1"/>
        </w:rPr>
        <w:t xml:space="preserve"> </w:t>
      </w:r>
      <w:proofErr w:type="spellStart"/>
      <w:r w:rsidRPr="00782DB6">
        <w:rPr>
          <w:color w:val="000000" w:themeColor="text1"/>
        </w:rPr>
        <w:t>Record</w:t>
      </w:r>
      <w:proofErr w:type="spellEnd"/>
      <w:r w:rsidRPr="00782DB6">
        <w:rPr>
          <w:color w:val="000000" w:themeColor="text1"/>
        </w:rPr>
        <w:t xml:space="preserve">: </w:t>
      </w:r>
      <w:proofErr w:type="spellStart"/>
      <w:r w:rsidRPr="00782DB6">
        <w:rPr>
          <w:color w:val="000000" w:themeColor="text1"/>
        </w:rPr>
        <w:t>Journal</w:t>
      </w:r>
      <w:proofErr w:type="spellEnd"/>
      <w:r w:rsidRPr="00782DB6">
        <w:rPr>
          <w:color w:val="000000" w:themeColor="text1"/>
        </w:rPr>
        <w:t xml:space="preserve"> </w:t>
      </w:r>
      <w:proofErr w:type="spellStart"/>
      <w:r w:rsidRPr="00782DB6">
        <w:rPr>
          <w:color w:val="000000" w:themeColor="text1"/>
        </w:rPr>
        <w:t>of</w:t>
      </w:r>
      <w:proofErr w:type="spellEnd"/>
      <w:r w:rsidRPr="00782DB6">
        <w:rPr>
          <w:color w:val="000000" w:themeColor="text1"/>
        </w:rPr>
        <w:t xml:space="preserve"> </w:t>
      </w:r>
      <w:proofErr w:type="spellStart"/>
      <w:r w:rsidRPr="00782DB6">
        <w:rPr>
          <w:color w:val="000000" w:themeColor="text1"/>
        </w:rPr>
        <w:t>the</w:t>
      </w:r>
      <w:proofErr w:type="spellEnd"/>
      <w:r w:rsidRPr="00782DB6">
        <w:rPr>
          <w:color w:val="000000" w:themeColor="text1"/>
        </w:rPr>
        <w:t xml:space="preserve"> </w:t>
      </w:r>
      <w:proofErr w:type="spellStart"/>
      <w:r w:rsidRPr="00782DB6">
        <w:rPr>
          <w:color w:val="000000" w:themeColor="text1"/>
        </w:rPr>
        <w:t>Transportation</w:t>
      </w:r>
      <w:proofErr w:type="spellEnd"/>
      <w:r w:rsidRPr="00782DB6">
        <w:rPr>
          <w:color w:val="000000" w:themeColor="text1"/>
        </w:rPr>
        <w:t xml:space="preserve"> </w:t>
      </w:r>
      <w:proofErr w:type="spellStart"/>
      <w:r w:rsidRPr="00782DB6">
        <w:rPr>
          <w:color w:val="000000" w:themeColor="text1"/>
        </w:rPr>
        <w:t>Research</w:t>
      </w:r>
      <w:proofErr w:type="spellEnd"/>
      <w:r w:rsidRPr="00782DB6">
        <w:rPr>
          <w:color w:val="000000" w:themeColor="text1"/>
        </w:rPr>
        <w:t xml:space="preserve"> </w:t>
      </w:r>
      <w:proofErr w:type="spellStart"/>
      <w:r w:rsidRPr="00782DB6">
        <w:rPr>
          <w:color w:val="000000" w:themeColor="text1"/>
        </w:rPr>
        <w:t>Board</w:t>
      </w:r>
      <w:proofErr w:type="spellEnd"/>
      <w:r w:rsidRPr="00782DB6">
        <w:rPr>
          <w:color w:val="000000" w:themeColor="text1"/>
        </w:rPr>
        <w:t>, (1607):116–125.</w:t>
      </w:r>
    </w:p>
    <w:p w:rsidR="00FB31D8" w:rsidRPr="00782DB6" w:rsidRDefault="00FB31D8" w:rsidP="00782DB6">
      <w:pPr>
        <w:spacing w:line="240" w:lineRule="auto"/>
        <w:jc w:val="both"/>
        <w:rPr>
          <w:color w:val="000000" w:themeColor="text1"/>
        </w:rPr>
      </w:pPr>
      <w:r w:rsidRPr="00782DB6">
        <w:rPr>
          <w:color w:val="000000" w:themeColor="text1"/>
        </w:rPr>
        <w:t xml:space="preserve">Wolf, J. (2000). </w:t>
      </w:r>
      <w:proofErr w:type="spellStart"/>
      <w:r w:rsidRPr="00782DB6">
        <w:rPr>
          <w:color w:val="000000" w:themeColor="text1"/>
        </w:rPr>
        <w:t>Using</w:t>
      </w:r>
      <w:proofErr w:type="spellEnd"/>
      <w:r w:rsidRPr="00782DB6">
        <w:rPr>
          <w:color w:val="000000" w:themeColor="text1"/>
        </w:rPr>
        <w:t xml:space="preserve"> GPS Data </w:t>
      </w:r>
      <w:proofErr w:type="spellStart"/>
      <w:r w:rsidRPr="00782DB6">
        <w:rPr>
          <w:color w:val="000000" w:themeColor="text1"/>
        </w:rPr>
        <w:t>Loggers</w:t>
      </w:r>
      <w:proofErr w:type="spellEnd"/>
      <w:r w:rsidRPr="00782DB6">
        <w:rPr>
          <w:color w:val="000000" w:themeColor="text1"/>
        </w:rPr>
        <w:t xml:space="preserve"> To </w:t>
      </w:r>
      <w:proofErr w:type="spellStart"/>
      <w:r w:rsidRPr="00782DB6">
        <w:rPr>
          <w:color w:val="000000" w:themeColor="text1"/>
        </w:rPr>
        <w:t>Replace</w:t>
      </w:r>
      <w:proofErr w:type="spellEnd"/>
      <w:r w:rsidRPr="00782DB6">
        <w:rPr>
          <w:color w:val="000000" w:themeColor="text1"/>
        </w:rPr>
        <w:t xml:space="preserve"> </w:t>
      </w:r>
      <w:proofErr w:type="spellStart"/>
      <w:r w:rsidRPr="00782DB6">
        <w:rPr>
          <w:color w:val="000000" w:themeColor="text1"/>
        </w:rPr>
        <w:t>Travel</w:t>
      </w:r>
      <w:proofErr w:type="spellEnd"/>
      <w:r w:rsidRPr="00782DB6">
        <w:rPr>
          <w:color w:val="000000" w:themeColor="text1"/>
        </w:rPr>
        <w:t xml:space="preserve"> </w:t>
      </w:r>
      <w:proofErr w:type="spellStart"/>
      <w:r w:rsidRPr="00782DB6">
        <w:rPr>
          <w:color w:val="000000" w:themeColor="text1"/>
        </w:rPr>
        <w:t>Diaries</w:t>
      </w:r>
      <w:proofErr w:type="spellEnd"/>
      <w:r w:rsidRPr="00782DB6">
        <w:rPr>
          <w:color w:val="000000" w:themeColor="text1"/>
        </w:rPr>
        <w:t xml:space="preserve"> In </w:t>
      </w:r>
      <w:proofErr w:type="spellStart"/>
      <w:r w:rsidRPr="00782DB6">
        <w:rPr>
          <w:color w:val="000000" w:themeColor="text1"/>
        </w:rPr>
        <w:t>the</w:t>
      </w:r>
      <w:proofErr w:type="spellEnd"/>
      <w:r w:rsidRPr="00782DB6">
        <w:rPr>
          <w:color w:val="000000" w:themeColor="text1"/>
        </w:rPr>
        <w:t xml:space="preserve"> </w:t>
      </w:r>
      <w:proofErr w:type="spellStart"/>
      <w:r w:rsidRPr="00782DB6">
        <w:rPr>
          <w:color w:val="000000" w:themeColor="text1"/>
        </w:rPr>
        <w:t>Collection</w:t>
      </w:r>
      <w:proofErr w:type="spellEnd"/>
      <w:r w:rsidRPr="00782DB6">
        <w:rPr>
          <w:color w:val="000000" w:themeColor="text1"/>
        </w:rPr>
        <w:t xml:space="preserve"> </w:t>
      </w:r>
      <w:proofErr w:type="spellStart"/>
      <w:r w:rsidRPr="00782DB6">
        <w:rPr>
          <w:color w:val="000000" w:themeColor="text1"/>
        </w:rPr>
        <w:t>of</w:t>
      </w:r>
      <w:proofErr w:type="spellEnd"/>
      <w:r w:rsidRPr="00782DB6">
        <w:rPr>
          <w:color w:val="000000" w:themeColor="text1"/>
        </w:rPr>
        <w:t xml:space="preserve"> </w:t>
      </w:r>
      <w:proofErr w:type="spellStart"/>
      <w:r w:rsidRPr="00782DB6">
        <w:rPr>
          <w:color w:val="000000" w:themeColor="text1"/>
        </w:rPr>
        <w:t>Travel</w:t>
      </w:r>
      <w:proofErr w:type="spellEnd"/>
      <w:r w:rsidRPr="00782DB6">
        <w:rPr>
          <w:color w:val="000000" w:themeColor="text1"/>
        </w:rPr>
        <w:t xml:space="preserve"> Data. </w:t>
      </w:r>
      <w:proofErr w:type="spellStart"/>
      <w:r w:rsidRPr="00782DB6">
        <w:rPr>
          <w:color w:val="000000" w:themeColor="text1"/>
        </w:rPr>
        <w:t>Dissertation</w:t>
      </w:r>
      <w:proofErr w:type="spellEnd"/>
      <w:r w:rsidRPr="00782DB6">
        <w:rPr>
          <w:color w:val="000000" w:themeColor="text1"/>
        </w:rPr>
        <w:t xml:space="preserve">, Georgia Institute </w:t>
      </w:r>
      <w:proofErr w:type="spellStart"/>
      <w:r w:rsidRPr="00782DB6">
        <w:rPr>
          <w:color w:val="000000" w:themeColor="text1"/>
        </w:rPr>
        <w:t>of</w:t>
      </w:r>
      <w:proofErr w:type="spellEnd"/>
      <w:r w:rsidRPr="00782DB6">
        <w:rPr>
          <w:color w:val="000000" w:themeColor="text1"/>
        </w:rPr>
        <w:t xml:space="preserve"> Technology, </w:t>
      </w:r>
      <w:proofErr w:type="spellStart"/>
      <w:r w:rsidRPr="00782DB6">
        <w:rPr>
          <w:color w:val="000000" w:themeColor="text1"/>
        </w:rPr>
        <w:t>School</w:t>
      </w:r>
      <w:proofErr w:type="spellEnd"/>
      <w:r w:rsidRPr="00782DB6">
        <w:rPr>
          <w:color w:val="000000" w:themeColor="text1"/>
        </w:rPr>
        <w:t xml:space="preserve"> </w:t>
      </w:r>
      <w:proofErr w:type="spellStart"/>
      <w:r w:rsidRPr="00782DB6">
        <w:rPr>
          <w:color w:val="000000" w:themeColor="text1"/>
        </w:rPr>
        <w:t>of</w:t>
      </w:r>
      <w:proofErr w:type="spellEnd"/>
      <w:r w:rsidRPr="00782DB6">
        <w:rPr>
          <w:color w:val="000000" w:themeColor="text1"/>
        </w:rPr>
        <w:t xml:space="preserve"> Civil and </w:t>
      </w:r>
      <w:proofErr w:type="spellStart"/>
      <w:r w:rsidRPr="00782DB6">
        <w:rPr>
          <w:color w:val="000000" w:themeColor="text1"/>
        </w:rPr>
        <w:t>Environmental</w:t>
      </w:r>
      <w:proofErr w:type="spellEnd"/>
      <w:r w:rsidRPr="00782DB6">
        <w:rPr>
          <w:color w:val="000000" w:themeColor="text1"/>
        </w:rPr>
        <w:t xml:space="preserve"> </w:t>
      </w:r>
      <w:proofErr w:type="spellStart"/>
      <w:r w:rsidRPr="00782DB6">
        <w:rPr>
          <w:color w:val="000000" w:themeColor="text1"/>
        </w:rPr>
        <w:t>Engineering</w:t>
      </w:r>
      <w:proofErr w:type="spellEnd"/>
      <w:r w:rsidRPr="00782DB6">
        <w:rPr>
          <w:color w:val="000000" w:themeColor="text1"/>
        </w:rPr>
        <w:t>, Atlanta, GA.</w:t>
      </w:r>
    </w:p>
    <w:p w:rsidR="000B7F3B" w:rsidRPr="00782DB6" w:rsidRDefault="000B7F3B" w:rsidP="00782DB6">
      <w:pPr>
        <w:spacing w:line="240" w:lineRule="auto"/>
        <w:jc w:val="both"/>
        <w:rPr>
          <w:color w:val="000000" w:themeColor="text1"/>
        </w:rPr>
      </w:pPr>
      <w:r w:rsidRPr="00782DB6">
        <w:rPr>
          <w:color w:val="000000" w:themeColor="text1"/>
        </w:rPr>
        <w:t xml:space="preserve">BANERJEE, </w:t>
      </w:r>
      <w:proofErr w:type="spellStart"/>
      <w:r w:rsidRPr="00782DB6">
        <w:rPr>
          <w:color w:val="000000" w:themeColor="text1"/>
        </w:rPr>
        <w:t>Arunabha</w:t>
      </w:r>
      <w:proofErr w:type="spellEnd"/>
      <w:r w:rsidRPr="00782DB6">
        <w:rPr>
          <w:color w:val="000000" w:themeColor="text1"/>
        </w:rPr>
        <w:t xml:space="preserve">; MAURYA, </w:t>
      </w:r>
      <w:proofErr w:type="spellStart"/>
      <w:r w:rsidRPr="00782DB6">
        <w:rPr>
          <w:color w:val="000000" w:themeColor="text1"/>
        </w:rPr>
        <w:t>Akhilesh</w:t>
      </w:r>
      <w:proofErr w:type="spellEnd"/>
      <w:r w:rsidRPr="00782DB6">
        <w:rPr>
          <w:color w:val="000000" w:themeColor="text1"/>
        </w:rPr>
        <w:t xml:space="preserve"> </w:t>
      </w:r>
      <w:proofErr w:type="spellStart"/>
      <w:r w:rsidRPr="00782DB6">
        <w:rPr>
          <w:color w:val="000000" w:themeColor="text1"/>
        </w:rPr>
        <w:t>Kumar</w:t>
      </w:r>
      <w:proofErr w:type="spellEnd"/>
      <w:r w:rsidRPr="00782DB6">
        <w:rPr>
          <w:color w:val="000000" w:themeColor="text1"/>
        </w:rPr>
        <w:t xml:space="preserve">; LÄMMEL, Gregor. A </w:t>
      </w:r>
      <w:proofErr w:type="spellStart"/>
      <w:r w:rsidRPr="00782DB6">
        <w:rPr>
          <w:color w:val="000000" w:themeColor="text1"/>
        </w:rPr>
        <w:t>Review</w:t>
      </w:r>
      <w:proofErr w:type="spellEnd"/>
      <w:r w:rsidRPr="00782DB6">
        <w:rPr>
          <w:color w:val="000000" w:themeColor="text1"/>
        </w:rPr>
        <w:t xml:space="preserve"> </w:t>
      </w:r>
      <w:proofErr w:type="spellStart"/>
      <w:r w:rsidRPr="00782DB6">
        <w:rPr>
          <w:color w:val="000000" w:themeColor="text1"/>
        </w:rPr>
        <w:t>of</w:t>
      </w:r>
      <w:proofErr w:type="spellEnd"/>
      <w:r w:rsidRPr="00782DB6">
        <w:rPr>
          <w:color w:val="000000" w:themeColor="text1"/>
        </w:rPr>
        <w:t xml:space="preserve"> </w:t>
      </w:r>
      <w:proofErr w:type="spellStart"/>
      <w:r w:rsidRPr="00782DB6">
        <w:rPr>
          <w:color w:val="000000" w:themeColor="text1"/>
        </w:rPr>
        <w:t>Pedestrian</w:t>
      </w:r>
      <w:proofErr w:type="spellEnd"/>
      <w:r w:rsidRPr="00782DB6">
        <w:rPr>
          <w:color w:val="000000" w:themeColor="text1"/>
        </w:rPr>
        <w:t xml:space="preserve"> </w:t>
      </w:r>
      <w:proofErr w:type="spellStart"/>
      <w:r w:rsidRPr="00782DB6">
        <w:rPr>
          <w:color w:val="000000" w:themeColor="text1"/>
        </w:rPr>
        <w:t>Flow</w:t>
      </w:r>
      <w:proofErr w:type="spellEnd"/>
      <w:r w:rsidRPr="00782DB6">
        <w:rPr>
          <w:color w:val="000000" w:themeColor="text1"/>
        </w:rPr>
        <w:t xml:space="preserve"> </w:t>
      </w:r>
      <w:proofErr w:type="spellStart"/>
      <w:r w:rsidRPr="00782DB6">
        <w:rPr>
          <w:color w:val="000000" w:themeColor="text1"/>
        </w:rPr>
        <w:t>Characteristics</w:t>
      </w:r>
      <w:proofErr w:type="spellEnd"/>
      <w:r w:rsidRPr="00782DB6">
        <w:rPr>
          <w:color w:val="000000" w:themeColor="text1"/>
        </w:rPr>
        <w:t xml:space="preserve"> and </w:t>
      </w:r>
      <w:proofErr w:type="spellStart"/>
      <w:r w:rsidRPr="00782DB6">
        <w:rPr>
          <w:color w:val="000000" w:themeColor="text1"/>
        </w:rPr>
        <w:t>Level</w:t>
      </w:r>
      <w:proofErr w:type="spellEnd"/>
      <w:r w:rsidRPr="00782DB6">
        <w:rPr>
          <w:color w:val="000000" w:themeColor="text1"/>
        </w:rPr>
        <w:t xml:space="preserve"> </w:t>
      </w:r>
      <w:proofErr w:type="spellStart"/>
      <w:r w:rsidRPr="00782DB6">
        <w:rPr>
          <w:color w:val="000000" w:themeColor="text1"/>
        </w:rPr>
        <w:t>of</w:t>
      </w:r>
      <w:proofErr w:type="spellEnd"/>
      <w:r w:rsidRPr="00782DB6">
        <w:rPr>
          <w:color w:val="000000" w:themeColor="text1"/>
        </w:rPr>
        <w:t xml:space="preserve"> </w:t>
      </w:r>
      <w:proofErr w:type="spellStart"/>
      <w:r w:rsidRPr="00782DB6">
        <w:rPr>
          <w:color w:val="000000" w:themeColor="text1"/>
        </w:rPr>
        <w:t>Service</w:t>
      </w:r>
      <w:proofErr w:type="spellEnd"/>
      <w:r w:rsidRPr="00782DB6">
        <w:rPr>
          <w:color w:val="000000" w:themeColor="text1"/>
        </w:rPr>
        <w:t xml:space="preserve"> </w:t>
      </w:r>
      <w:proofErr w:type="spellStart"/>
      <w:r w:rsidRPr="00782DB6">
        <w:rPr>
          <w:color w:val="000000" w:themeColor="text1"/>
        </w:rPr>
        <w:t>over</w:t>
      </w:r>
      <w:proofErr w:type="spellEnd"/>
      <w:r w:rsidRPr="00782DB6">
        <w:rPr>
          <w:color w:val="000000" w:themeColor="text1"/>
        </w:rPr>
        <w:t xml:space="preserve"> </w:t>
      </w:r>
      <w:proofErr w:type="spellStart"/>
      <w:r w:rsidRPr="00782DB6">
        <w:rPr>
          <w:color w:val="000000" w:themeColor="text1"/>
        </w:rPr>
        <w:t>Different</w:t>
      </w:r>
      <w:proofErr w:type="spellEnd"/>
      <w:r w:rsidRPr="00782DB6">
        <w:rPr>
          <w:color w:val="000000" w:themeColor="text1"/>
        </w:rPr>
        <w:t xml:space="preserve"> </w:t>
      </w:r>
      <w:proofErr w:type="spellStart"/>
      <w:r w:rsidRPr="00782DB6">
        <w:rPr>
          <w:color w:val="000000" w:themeColor="text1"/>
        </w:rPr>
        <w:t>Pedestrian</w:t>
      </w:r>
      <w:proofErr w:type="spellEnd"/>
      <w:r w:rsidRPr="00782DB6">
        <w:rPr>
          <w:color w:val="000000" w:themeColor="text1"/>
        </w:rPr>
        <w:t xml:space="preserve"> </w:t>
      </w:r>
      <w:proofErr w:type="spellStart"/>
      <w:r w:rsidRPr="00782DB6">
        <w:rPr>
          <w:color w:val="000000" w:themeColor="text1"/>
        </w:rPr>
        <w:t>Facilities</w:t>
      </w:r>
      <w:proofErr w:type="spellEnd"/>
      <w:r w:rsidRPr="00782DB6">
        <w:rPr>
          <w:color w:val="000000" w:themeColor="text1"/>
        </w:rPr>
        <w:t xml:space="preserve">. </w:t>
      </w:r>
      <w:proofErr w:type="spellStart"/>
      <w:r w:rsidRPr="00782DB6">
        <w:rPr>
          <w:color w:val="000000" w:themeColor="text1"/>
        </w:rPr>
        <w:t>Collective</w:t>
      </w:r>
      <w:proofErr w:type="spellEnd"/>
      <w:r w:rsidRPr="00782DB6">
        <w:rPr>
          <w:color w:val="000000" w:themeColor="text1"/>
        </w:rPr>
        <w:t xml:space="preserve"> Dynamics, [</w:t>
      </w:r>
      <w:proofErr w:type="spellStart"/>
      <w:proofErr w:type="gramStart"/>
      <w:r w:rsidRPr="00782DB6">
        <w:rPr>
          <w:color w:val="000000" w:themeColor="text1"/>
        </w:rPr>
        <w:t>S.l</w:t>
      </w:r>
      <w:proofErr w:type="spellEnd"/>
      <w:r w:rsidRPr="00782DB6">
        <w:rPr>
          <w:color w:val="000000" w:themeColor="text1"/>
        </w:rPr>
        <w:t>.</w:t>
      </w:r>
      <w:proofErr w:type="gramEnd"/>
      <w:r w:rsidRPr="00782DB6">
        <w:rPr>
          <w:color w:val="000000" w:themeColor="text1"/>
        </w:rPr>
        <w:t xml:space="preserve">], v. 3, p. 1-52, </w:t>
      </w:r>
      <w:proofErr w:type="spellStart"/>
      <w:r w:rsidRPr="00782DB6">
        <w:rPr>
          <w:color w:val="000000" w:themeColor="text1"/>
        </w:rPr>
        <w:t>july</w:t>
      </w:r>
      <w:proofErr w:type="spellEnd"/>
      <w:r w:rsidRPr="00782DB6">
        <w:rPr>
          <w:color w:val="000000" w:themeColor="text1"/>
        </w:rPr>
        <w:t xml:space="preserve"> 2018. ISSN 2366-8539. </w:t>
      </w:r>
      <w:proofErr w:type="spellStart"/>
      <w:r w:rsidRPr="00782DB6">
        <w:rPr>
          <w:color w:val="000000" w:themeColor="text1"/>
        </w:rPr>
        <w:t>Available</w:t>
      </w:r>
      <w:proofErr w:type="spellEnd"/>
      <w:r w:rsidRPr="00782DB6">
        <w:rPr>
          <w:color w:val="000000" w:themeColor="text1"/>
        </w:rPr>
        <w:t xml:space="preserve"> </w:t>
      </w:r>
      <w:proofErr w:type="spellStart"/>
      <w:r w:rsidRPr="00782DB6">
        <w:rPr>
          <w:color w:val="000000" w:themeColor="text1"/>
        </w:rPr>
        <w:t>at</w:t>
      </w:r>
      <w:proofErr w:type="spellEnd"/>
      <w:r w:rsidRPr="00782DB6">
        <w:rPr>
          <w:color w:val="000000" w:themeColor="text1"/>
        </w:rPr>
        <w:t>: &lt;https://collective-dynamics.eu/</w:t>
      </w:r>
      <w:proofErr w:type="spellStart"/>
      <w:r w:rsidRPr="00782DB6">
        <w:rPr>
          <w:color w:val="000000" w:themeColor="text1"/>
        </w:rPr>
        <w:t>index.php</w:t>
      </w:r>
      <w:proofErr w:type="spellEnd"/>
      <w:r w:rsidRPr="00782DB6">
        <w:rPr>
          <w:color w:val="000000" w:themeColor="text1"/>
        </w:rPr>
        <w:t>/cod/</w:t>
      </w:r>
      <w:proofErr w:type="spellStart"/>
      <w:r w:rsidRPr="00782DB6">
        <w:rPr>
          <w:color w:val="000000" w:themeColor="text1"/>
        </w:rPr>
        <w:t>article</w:t>
      </w:r>
      <w:proofErr w:type="spellEnd"/>
      <w:r w:rsidRPr="00782DB6">
        <w:rPr>
          <w:color w:val="000000" w:themeColor="text1"/>
        </w:rPr>
        <w:t>/</w:t>
      </w:r>
      <w:proofErr w:type="spellStart"/>
      <w:r w:rsidRPr="00782DB6">
        <w:rPr>
          <w:color w:val="000000" w:themeColor="text1"/>
        </w:rPr>
        <w:t>view</w:t>
      </w:r>
      <w:proofErr w:type="spellEnd"/>
      <w:r w:rsidRPr="00782DB6">
        <w:rPr>
          <w:color w:val="000000" w:themeColor="text1"/>
        </w:rPr>
        <w:t xml:space="preserve">/A17&gt;. </w:t>
      </w:r>
      <w:proofErr w:type="spellStart"/>
      <w:r w:rsidRPr="00782DB6">
        <w:rPr>
          <w:color w:val="000000" w:themeColor="text1"/>
        </w:rPr>
        <w:t>Date</w:t>
      </w:r>
      <w:proofErr w:type="spellEnd"/>
      <w:r w:rsidRPr="00782DB6">
        <w:rPr>
          <w:color w:val="000000" w:themeColor="text1"/>
        </w:rPr>
        <w:t xml:space="preserve"> </w:t>
      </w:r>
      <w:proofErr w:type="spellStart"/>
      <w:r w:rsidRPr="00782DB6">
        <w:rPr>
          <w:color w:val="000000" w:themeColor="text1"/>
        </w:rPr>
        <w:t>accessed</w:t>
      </w:r>
      <w:proofErr w:type="spellEnd"/>
      <w:r w:rsidRPr="00782DB6">
        <w:rPr>
          <w:color w:val="000000" w:themeColor="text1"/>
        </w:rPr>
        <w:t xml:space="preserve">: 23 dec. 2019. </w:t>
      </w:r>
      <w:proofErr w:type="spellStart"/>
      <w:r w:rsidRPr="00782DB6">
        <w:rPr>
          <w:color w:val="000000" w:themeColor="text1"/>
        </w:rPr>
        <w:t>doi:http</w:t>
      </w:r>
      <w:proofErr w:type="spellEnd"/>
      <w:r w:rsidRPr="00782DB6">
        <w:rPr>
          <w:color w:val="000000" w:themeColor="text1"/>
        </w:rPr>
        <w:t>://dx.doi.org/10.17815/CD.2018.17.</w:t>
      </w:r>
    </w:p>
    <w:p w:rsidR="00B33304" w:rsidRPr="00782DB6" w:rsidRDefault="00D916DE" w:rsidP="00782DB6">
      <w:pPr>
        <w:spacing w:line="240" w:lineRule="auto"/>
        <w:rPr>
          <w:rFonts w:cs="Arial"/>
          <w:color w:val="000000" w:themeColor="text1"/>
          <w:shd w:val="clear" w:color="auto" w:fill="FFFFFF"/>
        </w:rPr>
      </w:pPr>
      <w:proofErr w:type="spellStart"/>
      <w:r w:rsidRPr="00782DB6">
        <w:rPr>
          <w:rFonts w:cs="Arial"/>
          <w:color w:val="000000" w:themeColor="text1"/>
          <w:shd w:val="clear" w:color="auto" w:fill="FFFFFF"/>
        </w:rPr>
        <w:t>Oyama</w:t>
      </w:r>
      <w:proofErr w:type="spellEnd"/>
      <w:r w:rsidRPr="00782DB6">
        <w:rPr>
          <w:rFonts w:cs="Arial"/>
          <w:color w:val="000000" w:themeColor="text1"/>
          <w:shd w:val="clear" w:color="auto" w:fill="FFFFFF"/>
        </w:rPr>
        <w:t xml:space="preserve">, </w:t>
      </w:r>
      <w:proofErr w:type="spellStart"/>
      <w:r w:rsidRPr="00782DB6">
        <w:rPr>
          <w:rFonts w:cs="Arial"/>
          <w:color w:val="000000" w:themeColor="text1"/>
          <w:shd w:val="clear" w:color="auto" w:fill="FFFFFF"/>
        </w:rPr>
        <w:t>Yuki</w:t>
      </w:r>
      <w:proofErr w:type="spellEnd"/>
      <w:r w:rsidRPr="00782DB6">
        <w:rPr>
          <w:rFonts w:cs="Arial"/>
          <w:color w:val="000000" w:themeColor="text1"/>
          <w:shd w:val="clear" w:color="auto" w:fill="FFFFFF"/>
        </w:rPr>
        <w:t xml:space="preserve"> and </w:t>
      </w:r>
      <w:proofErr w:type="spellStart"/>
      <w:r w:rsidRPr="00782DB6">
        <w:rPr>
          <w:rFonts w:cs="Arial"/>
          <w:color w:val="000000" w:themeColor="text1"/>
          <w:shd w:val="clear" w:color="auto" w:fill="FFFFFF"/>
        </w:rPr>
        <w:t>Eiji</w:t>
      </w:r>
      <w:proofErr w:type="spellEnd"/>
      <w:r w:rsidRPr="00782DB6">
        <w:rPr>
          <w:rFonts w:cs="Arial"/>
          <w:color w:val="000000" w:themeColor="text1"/>
          <w:shd w:val="clear" w:color="auto" w:fill="FFFFFF"/>
        </w:rPr>
        <w:t xml:space="preserve"> </w:t>
      </w:r>
      <w:proofErr w:type="spellStart"/>
      <w:r w:rsidRPr="00782DB6">
        <w:rPr>
          <w:rFonts w:cs="Arial"/>
          <w:color w:val="000000" w:themeColor="text1"/>
          <w:shd w:val="clear" w:color="auto" w:fill="FFFFFF"/>
        </w:rPr>
        <w:t>Hato</w:t>
      </w:r>
      <w:proofErr w:type="spellEnd"/>
      <w:r w:rsidRPr="00782DB6">
        <w:rPr>
          <w:rFonts w:cs="Arial"/>
          <w:color w:val="000000" w:themeColor="text1"/>
          <w:shd w:val="clear" w:color="auto" w:fill="FFFFFF"/>
        </w:rPr>
        <w:t>. “Link-</w:t>
      </w:r>
      <w:proofErr w:type="spellStart"/>
      <w:r w:rsidRPr="00782DB6">
        <w:rPr>
          <w:rFonts w:cs="Arial"/>
          <w:color w:val="000000" w:themeColor="text1"/>
          <w:shd w:val="clear" w:color="auto" w:fill="FFFFFF"/>
        </w:rPr>
        <w:t>based</w:t>
      </w:r>
      <w:proofErr w:type="spellEnd"/>
      <w:r w:rsidRPr="00782DB6">
        <w:rPr>
          <w:rFonts w:cs="Arial"/>
          <w:color w:val="000000" w:themeColor="text1"/>
          <w:shd w:val="clear" w:color="auto" w:fill="FFFFFF"/>
        </w:rPr>
        <w:t xml:space="preserve"> </w:t>
      </w:r>
      <w:proofErr w:type="spellStart"/>
      <w:r w:rsidRPr="00782DB6">
        <w:rPr>
          <w:rFonts w:cs="Arial"/>
          <w:color w:val="000000" w:themeColor="text1"/>
          <w:shd w:val="clear" w:color="auto" w:fill="FFFFFF"/>
        </w:rPr>
        <w:t>measurement</w:t>
      </w:r>
      <w:proofErr w:type="spellEnd"/>
      <w:r w:rsidRPr="00782DB6">
        <w:rPr>
          <w:rFonts w:cs="Arial"/>
          <w:color w:val="000000" w:themeColor="text1"/>
          <w:shd w:val="clear" w:color="auto" w:fill="FFFFFF"/>
        </w:rPr>
        <w:t xml:space="preserve"> model to </w:t>
      </w:r>
      <w:proofErr w:type="spellStart"/>
      <w:r w:rsidRPr="00782DB6">
        <w:rPr>
          <w:rFonts w:cs="Arial"/>
          <w:color w:val="000000" w:themeColor="text1"/>
          <w:shd w:val="clear" w:color="auto" w:fill="FFFFFF"/>
        </w:rPr>
        <w:t>estimate</w:t>
      </w:r>
      <w:proofErr w:type="spellEnd"/>
      <w:r w:rsidRPr="00782DB6">
        <w:rPr>
          <w:rFonts w:cs="Arial"/>
          <w:color w:val="000000" w:themeColor="text1"/>
          <w:shd w:val="clear" w:color="auto" w:fill="FFFFFF"/>
        </w:rPr>
        <w:t xml:space="preserve"> </w:t>
      </w:r>
      <w:proofErr w:type="spellStart"/>
      <w:r w:rsidRPr="00782DB6">
        <w:rPr>
          <w:rFonts w:cs="Arial"/>
          <w:color w:val="000000" w:themeColor="text1"/>
          <w:shd w:val="clear" w:color="auto" w:fill="FFFFFF"/>
        </w:rPr>
        <w:t>route</w:t>
      </w:r>
      <w:proofErr w:type="spellEnd"/>
      <w:r w:rsidRPr="00782DB6">
        <w:rPr>
          <w:rFonts w:cs="Arial"/>
          <w:color w:val="000000" w:themeColor="text1"/>
          <w:shd w:val="clear" w:color="auto" w:fill="FFFFFF"/>
        </w:rPr>
        <w:t xml:space="preserve"> </w:t>
      </w:r>
      <w:proofErr w:type="spellStart"/>
      <w:r w:rsidRPr="00782DB6">
        <w:rPr>
          <w:rFonts w:cs="Arial"/>
          <w:color w:val="000000" w:themeColor="text1"/>
          <w:shd w:val="clear" w:color="auto" w:fill="FFFFFF"/>
        </w:rPr>
        <w:t>choice</w:t>
      </w:r>
      <w:proofErr w:type="spellEnd"/>
      <w:r w:rsidRPr="00782DB6">
        <w:rPr>
          <w:rFonts w:cs="Arial"/>
          <w:color w:val="000000" w:themeColor="text1"/>
          <w:shd w:val="clear" w:color="auto" w:fill="FFFFFF"/>
        </w:rPr>
        <w:t xml:space="preserve"> </w:t>
      </w:r>
      <w:proofErr w:type="spellStart"/>
      <w:r w:rsidRPr="00782DB6">
        <w:rPr>
          <w:rFonts w:cs="Arial"/>
          <w:color w:val="000000" w:themeColor="text1"/>
          <w:shd w:val="clear" w:color="auto" w:fill="FFFFFF"/>
        </w:rPr>
        <w:t>parameters</w:t>
      </w:r>
      <w:proofErr w:type="spellEnd"/>
      <w:r w:rsidRPr="00782DB6">
        <w:rPr>
          <w:rFonts w:cs="Arial"/>
          <w:color w:val="000000" w:themeColor="text1"/>
          <w:shd w:val="clear" w:color="auto" w:fill="FFFFFF"/>
        </w:rPr>
        <w:t xml:space="preserve"> in </w:t>
      </w:r>
      <w:proofErr w:type="spellStart"/>
      <w:r w:rsidRPr="00782DB6">
        <w:rPr>
          <w:rFonts w:cs="Arial"/>
          <w:color w:val="000000" w:themeColor="text1"/>
          <w:shd w:val="clear" w:color="auto" w:fill="FFFFFF"/>
        </w:rPr>
        <w:t>urban</w:t>
      </w:r>
      <w:proofErr w:type="spellEnd"/>
      <w:r w:rsidRPr="00782DB6">
        <w:rPr>
          <w:rFonts w:cs="Arial"/>
          <w:color w:val="000000" w:themeColor="text1"/>
          <w:shd w:val="clear" w:color="auto" w:fill="FFFFFF"/>
        </w:rPr>
        <w:t xml:space="preserve"> </w:t>
      </w:r>
      <w:proofErr w:type="spellStart"/>
      <w:r w:rsidRPr="00782DB6">
        <w:rPr>
          <w:rFonts w:cs="Arial"/>
          <w:color w:val="000000" w:themeColor="text1"/>
          <w:shd w:val="clear" w:color="auto" w:fill="FFFFFF"/>
        </w:rPr>
        <w:t>pedestrian</w:t>
      </w:r>
      <w:proofErr w:type="spellEnd"/>
      <w:r w:rsidRPr="00782DB6">
        <w:rPr>
          <w:rFonts w:cs="Arial"/>
          <w:color w:val="000000" w:themeColor="text1"/>
          <w:shd w:val="clear" w:color="auto" w:fill="FFFFFF"/>
        </w:rPr>
        <w:t xml:space="preserve"> </w:t>
      </w:r>
      <w:proofErr w:type="spellStart"/>
      <w:r w:rsidRPr="00782DB6">
        <w:rPr>
          <w:rFonts w:cs="Arial"/>
          <w:color w:val="000000" w:themeColor="text1"/>
          <w:shd w:val="clear" w:color="auto" w:fill="FFFFFF"/>
        </w:rPr>
        <w:t>networks</w:t>
      </w:r>
      <w:proofErr w:type="spellEnd"/>
      <w:r w:rsidRPr="00782DB6">
        <w:rPr>
          <w:rFonts w:cs="Arial"/>
          <w:color w:val="000000" w:themeColor="text1"/>
          <w:shd w:val="clear" w:color="auto" w:fill="FFFFFF"/>
        </w:rPr>
        <w:t>.” (2018).</w:t>
      </w:r>
    </w:p>
    <w:p w:rsidR="007F6498" w:rsidRPr="00692007" w:rsidRDefault="00346C98" w:rsidP="00782DB6">
      <w:pPr>
        <w:spacing w:line="240" w:lineRule="auto"/>
      </w:pPr>
      <w:proofErr w:type="spellStart"/>
      <w:r w:rsidRPr="00782DB6">
        <w:rPr>
          <w:rFonts w:cs="Arial"/>
          <w:color w:val="000000" w:themeColor="text1"/>
          <w:shd w:val="clear" w:color="auto" w:fill="FFFFFF"/>
        </w:rPr>
        <w:t>Zhu</w:t>
      </w:r>
      <w:proofErr w:type="spellEnd"/>
      <w:r w:rsidRPr="00782DB6">
        <w:rPr>
          <w:rFonts w:cs="Arial"/>
          <w:color w:val="000000" w:themeColor="text1"/>
          <w:shd w:val="clear" w:color="auto" w:fill="FFFFFF"/>
        </w:rPr>
        <w:t xml:space="preserve"> W, </w:t>
      </w:r>
      <w:proofErr w:type="spellStart"/>
      <w:r w:rsidRPr="00782DB6">
        <w:rPr>
          <w:rFonts w:cs="Arial"/>
          <w:color w:val="000000" w:themeColor="text1"/>
          <w:shd w:val="clear" w:color="auto" w:fill="FFFFFF"/>
        </w:rPr>
        <w:t>Timmermans</w:t>
      </w:r>
      <w:proofErr w:type="spellEnd"/>
      <w:r w:rsidRPr="00782DB6">
        <w:rPr>
          <w:rFonts w:cs="Arial"/>
          <w:color w:val="000000" w:themeColor="text1"/>
          <w:shd w:val="clear" w:color="auto" w:fill="FFFFFF"/>
        </w:rPr>
        <w:t xml:space="preserve"> HJP. </w:t>
      </w:r>
      <w:r w:rsidRPr="00782DB6">
        <w:rPr>
          <w:rStyle w:val="Nzev1"/>
          <w:rFonts w:cs="Arial"/>
          <w:color w:val="000000" w:themeColor="text1"/>
          <w:shd w:val="clear" w:color="auto" w:fill="FFFFFF"/>
        </w:rPr>
        <w:t xml:space="preserve">Modeling and </w:t>
      </w:r>
      <w:proofErr w:type="spellStart"/>
      <w:r w:rsidRPr="00782DB6">
        <w:rPr>
          <w:rStyle w:val="Nzev1"/>
          <w:rFonts w:cs="Arial"/>
          <w:color w:val="000000" w:themeColor="text1"/>
          <w:shd w:val="clear" w:color="auto" w:fill="FFFFFF"/>
        </w:rPr>
        <w:t>simulating</w:t>
      </w:r>
      <w:proofErr w:type="spellEnd"/>
      <w:r w:rsidRPr="00782DB6">
        <w:rPr>
          <w:rStyle w:val="Nzev1"/>
          <w:rFonts w:cs="Arial"/>
          <w:color w:val="000000" w:themeColor="text1"/>
          <w:shd w:val="clear" w:color="auto" w:fill="FFFFFF"/>
        </w:rPr>
        <w:t xml:space="preserve"> </w:t>
      </w:r>
      <w:proofErr w:type="spellStart"/>
      <w:r w:rsidRPr="00782DB6">
        <w:rPr>
          <w:rStyle w:val="Nzev1"/>
          <w:rFonts w:cs="Arial"/>
          <w:color w:val="000000" w:themeColor="text1"/>
          <w:shd w:val="clear" w:color="auto" w:fill="FFFFFF"/>
        </w:rPr>
        <w:t>pedestrian</w:t>
      </w:r>
      <w:proofErr w:type="spellEnd"/>
      <w:r w:rsidRPr="00782DB6">
        <w:rPr>
          <w:rStyle w:val="Nzev1"/>
          <w:rFonts w:cs="Arial"/>
          <w:color w:val="000000" w:themeColor="text1"/>
          <w:shd w:val="clear" w:color="auto" w:fill="FFFFFF"/>
        </w:rPr>
        <w:t xml:space="preserve"> shopping </w:t>
      </w:r>
      <w:proofErr w:type="spellStart"/>
      <w:r w:rsidRPr="00782DB6">
        <w:rPr>
          <w:rStyle w:val="Nzev1"/>
          <w:rFonts w:cs="Arial"/>
          <w:color w:val="000000" w:themeColor="text1"/>
          <w:shd w:val="clear" w:color="auto" w:fill="FFFFFF"/>
        </w:rPr>
        <w:t>behavior</w:t>
      </w:r>
      <w:proofErr w:type="spellEnd"/>
      <w:r w:rsidRPr="00782DB6">
        <w:rPr>
          <w:rStyle w:val="Nzev1"/>
          <w:rFonts w:cs="Arial"/>
          <w:color w:val="000000" w:themeColor="text1"/>
          <w:shd w:val="clear" w:color="auto" w:fill="FFFFFF"/>
        </w:rPr>
        <w:t xml:space="preserve"> </w:t>
      </w:r>
      <w:proofErr w:type="spellStart"/>
      <w:r w:rsidRPr="00782DB6">
        <w:rPr>
          <w:rStyle w:val="Nzev1"/>
          <w:rFonts w:cs="Arial"/>
          <w:color w:val="000000" w:themeColor="text1"/>
          <w:shd w:val="clear" w:color="auto" w:fill="FFFFFF"/>
        </w:rPr>
        <w:t>based</w:t>
      </w:r>
      <w:proofErr w:type="spellEnd"/>
      <w:r w:rsidRPr="00782DB6">
        <w:rPr>
          <w:rStyle w:val="Nzev1"/>
          <w:rFonts w:cs="Arial"/>
          <w:color w:val="000000" w:themeColor="text1"/>
          <w:shd w:val="clear" w:color="auto" w:fill="FFFFFF"/>
        </w:rPr>
        <w:t xml:space="preserve"> on </w:t>
      </w:r>
      <w:proofErr w:type="spellStart"/>
      <w:r w:rsidRPr="00782DB6">
        <w:rPr>
          <w:rStyle w:val="Nzev1"/>
          <w:rFonts w:cs="Arial"/>
          <w:color w:val="000000" w:themeColor="text1"/>
          <w:shd w:val="clear" w:color="auto" w:fill="FFFFFF"/>
        </w:rPr>
        <w:t>principles</w:t>
      </w:r>
      <w:proofErr w:type="spellEnd"/>
      <w:r w:rsidRPr="00782DB6">
        <w:rPr>
          <w:rStyle w:val="Nzev1"/>
          <w:rFonts w:cs="Arial"/>
          <w:color w:val="000000" w:themeColor="text1"/>
          <w:shd w:val="clear" w:color="auto" w:fill="FFFFFF"/>
        </w:rPr>
        <w:t xml:space="preserve"> </w:t>
      </w:r>
      <w:proofErr w:type="spellStart"/>
      <w:r w:rsidRPr="00782DB6">
        <w:rPr>
          <w:rStyle w:val="Nzev1"/>
          <w:rFonts w:cs="Arial"/>
          <w:color w:val="000000" w:themeColor="text1"/>
          <w:shd w:val="clear" w:color="auto" w:fill="FFFFFF"/>
        </w:rPr>
        <w:t>of</w:t>
      </w:r>
      <w:proofErr w:type="spellEnd"/>
      <w:r w:rsidRPr="00782DB6">
        <w:rPr>
          <w:rStyle w:val="Nzev1"/>
          <w:rFonts w:cs="Arial"/>
          <w:color w:val="000000" w:themeColor="text1"/>
          <w:shd w:val="clear" w:color="auto" w:fill="FFFFFF"/>
        </w:rPr>
        <w:t xml:space="preserve"> </w:t>
      </w:r>
      <w:proofErr w:type="spellStart"/>
      <w:r w:rsidRPr="00782DB6">
        <w:rPr>
          <w:rStyle w:val="Nzev1"/>
          <w:rFonts w:cs="Arial"/>
          <w:color w:val="000000" w:themeColor="text1"/>
          <w:shd w:val="clear" w:color="auto" w:fill="FFFFFF"/>
        </w:rPr>
        <w:t>boundede</w:t>
      </w:r>
      <w:proofErr w:type="spellEnd"/>
      <w:r w:rsidRPr="00782DB6">
        <w:rPr>
          <w:rStyle w:val="Nzev1"/>
          <w:rFonts w:cs="Arial"/>
          <w:color w:val="000000" w:themeColor="text1"/>
          <w:shd w:val="clear" w:color="auto" w:fill="FFFFFF"/>
        </w:rPr>
        <w:t xml:space="preserve"> </w:t>
      </w:r>
      <w:proofErr w:type="spellStart"/>
      <w:r w:rsidRPr="00782DB6">
        <w:rPr>
          <w:rStyle w:val="Nzev1"/>
          <w:rFonts w:cs="Arial"/>
          <w:color w:val="000000" w:themeColor="text1"/>
          <w:shd w:val="clear" w:color="auto" w:fill="FFFFFF"/>
        </w:rPr>
        <w:t>rationality</w:t>
      </w:r>
      <w:proofErr w:type="spellEnd"/>
      <w:r w:rsidRPr="00782DB6">
        <w:rPr>
          <w:rFonts w:cs="Arial"/>
          <w:color w:val="000000" w:themeColor="text1"/>
          <w:shd w:val="clear" w:color="auto" w:fill="FFFFFF"/>
        </w:rPr>
        <w:t xml:space="preserve">. In </w:t>
      </w:r>
      <w:proofErr w:type="spellStart"/>
      <w:r w:rsidRPr="00782DB6">
        <w:rPr>
          <w:rFonts w:cs="Arial"/>
          <w:color w:val="000000" w:themeColor="text1"/>
          <w:shd w:val="clear" w:color="auto" w:fill="FFFFFF"/>
        </w:rPr>
        <w:t>Timmermans</w:t>
      </w:r>
      <w:proofErr w:type="spellEnd"/>
      <w:r w:rsidRPr="00782DB6">
        <w:rPr>
          <w:rFonts w:cs="Arial"/>
          <w:color w:val="000000" w:themeColor="text1"/>
          <w:shd w:val="clear" w:color="auto" w:fill="FFFFFF"/>
        </w:rPr>
        <w:t xml:space="preserve"> HJP, editor, </w:t>
      </w:r>
      <w:proofErr w:type="spellStart"/>
      <w:r w:rsidRPr="00782DB6">
        <w:rPr>
          <w:rFonts w:cs="Arial"/>
          <w:color w:val="000000" w:themeColor="text1"/>
          <w:shd w:val="clear" w:color="auto" w:fill="FFFFFF"/>
        </w:rPr>
        <w:t>Pedestrian</w:t>
      </w:r>
      <w:proofErr w:type="spellEnd"/>
      <w:r w:rsidRPr="00782DB6">
        <w:rPr>
          <w:rFonts w:cs="Arial"/>
          <w:color w:val="000000" w:themeColor="text1"/>
          <w:shd w:val="clear" w:color="auto" w:fill="FFFFFF"/>
        </w:rPr>
        <w:t xml:space="preserve"> </w:t>
      </w:r>
      <w:proofErr w:type="spellStart"/>
      <w:r w:rsidRPr="00782DB6">
        <w:rPr>
          <w:rFonts w:cs="Arial"/>
          <w:color w:val="000000" w:themeColor="text1"/>
          <w:shd w:val="clear" w:color="auto" w:fill="FFFFFF"/>
        </w:rPr>
        <w:t>Behavior</w:t>
      </w:r>
      <w:proofErr w:type="spellEnd"/>
      <w:r w:rsidRPr="00782DB6">
        <w:rPr>
          <w:rFonts w:cs="Arial"/>
          <w:color w:val="000000" w:themeColor="text1"/>
          <w:shd w:val="clear" w:color="auto" w:fill="FFFFFF"/>
        </w:rPr>
        <w:t xml:space="preserve"> </w:t>
      </w:r>
      <w:proofErr w:type="spellStart"/>
      <w:r w:rsidRPr="00782DB6">
        <w:rPr>
          <w:rFonts w:cs="Arial"/>
          <w:color w:val="000000" w:themeColor="text1"/>
          <w:shd w:val="clear" w:color="auto" w:fill="FFFFFF"/>
        </w:rPr>
        <w:t>Models</w:t>
      </w:r>
      <w:proofErr w:type="spellEnd"/>
      <w:r w:rsidRPr="00782DB6">
        <w:rPr>
          <w:rFonts w:cs="Arial"/>
          <w:color w:val="000000" w:themeColor="text1"/>
          <w:shd w:val="clear" w:color="auto" w:fill="FFFFFF"/>
        </w:rPr>
        <w:t xml:space="preserve">, Data </w:t>
      </w:r>
      <w:proofErr w:type="spellStart"/>
      <w:r w:rsidRPr="00782DB6">
        <w:rPr>
          <w:rFonts w:cs="Arial"/>
          <w:color w:val="000000" w:themeColor="text1"/>
          <w:shd w:val="clear" w:color="auto" w:fill="FFFFFF"/>
        </w:rPr>
        <w:t>Collection</w:t>
      </w:r>
      <w:proofErr w:type="spellEnd"/>
      <w:r w:rsidRPr="00782DB6">
        <w:rPr>
          <w:rFonts w:cs="Arial"/>
          <w:color w:val="000000" w:themeColor="text1"/>
          <w:shd w:val="clear" w:color="auto" w:fill="FFFFFF"/>
        </w:rPr>
        <w:t xml:space="preserve"> and </w:t>
      </w:r>
      <w:proofErr w:type="spellStart"/>
      <w:r w:rsidRPr="00782DB6">
        <w:rPr>
          <w:rFonts w:cs="Arial"/>
          <w:color w:val="000000" w:themeColor="text1"/>
          <w:shd w:val="clear" w:color="auto" w:fill="FFFFFF"/>
        </w:rPr>
        <w:t>Applications</w:t>
      </w:r>
      <w:proofErr w:type="spellEnd"/>
      <w:r w:rsidRPr="00782DB6">
        <w:rPr>
          <w:rFonts w:cs="Arial"/>
          <w:color w:val="000000" w:themeColor="text1"/>
          <w:shd w:val="clear" w:color="auto" w:fill="FFFFFF"/>
        </w:rPr>
        <w:t xml:space="preserve">. </w:t>
      </w:r>
      <w:proofErr w:type="spellStart"/>
      <w:r w:rsidRPr="00782DB6">
        <w:rPr>
          <w:rFonts w:cs="Arial"/>
          <w:color w:val="000000" w:themeColor="text1"/>
          <w:shd w:val="clear" w:color="auto" w:fill="FFFFFF"/>
        </w:rPr>
        <w:t>Bingley</w:t>
      </w:r>
      <w:proofErr w:type="spellEnd"/>
      <w:r w:rsidRPr="00782DB6">
        <w:rPr>
          <w:rFonts w:cs="Arial"/>
          <w:color w:val="000000" w:themeColor="text1"/>
          <w:shd w:val="clear" w:color="auto" w:fill="FFFFFF"/>
        </w:rPr>
        <w:t xml:space="preserve">: </w:t>
      </w:r>
      <w:proofErr w:type="spellStart"/>
      <w:r w:rsidRPr="00782DB6">
        <w:rPr>
          <w:rFonts w:cs="Arial"/>
          <w:color w:val="000000" w:themeColor="text1"/>
          <w:shd w:val="clear" w:color="auto" w:fill="FFFFFF"/>
        </w:rPr>
        <w:t>Emerald</w:t>
      </w:r>
      <w:proofErr w:type="spellEnd"/>
      <w:r w:rsidRPr="00782DB6">
        <w:rPr>
          <w:rFonts w:cs="Arial"/>
          <w:color w:val="000000" w:themeColor="text1"/>
          <w:shd w:val="clear" w:color="auto" w:fill="FFFFFF"/>
        </w:rPr>
        <w:t xml:space="preserve"> Group </w:t>
      </w:r>
      <w:proofErr w:type="spellStart"/>
      <w:r w:rsidRPr="00782DB6">
        <w:rPr>
          <w:rFonts w:cs="Arial"/>
          <w:color w:val="000000" w:themeColor="text1"/>
          <w:shd w:val="clear" w:color="auto" w:fill="FFFFFF"/>
        </w:rPr>
        <w:t>Publishing</w:t>
      </w:r>
      <w:proofErr w:type="spellEnd"/>
      <w:r w:rsidRPr="00782DB6">
        <w:rPr>
          <w:rFonts w:cs="Arial"/>
          <w:color w:val="000000" w:themeColor="text1"/>
          <w:shd w:val="clear" w:color="auto" w:fill="FFFFFF"/>
        </w:rPr>
        <w:t xml:space="preserve"> Ltd. 2009. p. 137-156</w:t>
      </w:r>
      <w:r w:rsidR="00782DB6">
        <w:rPr>
          <w:rFonts w:cs="Arial"/>
          <w:color w:val="000000" w:themeColor="text1"/>
          <w:shd w:val="clear" w:color="auto" w:fill="FFFFFF"/>
        </w:rPr>
        <w:t>.</w:t>
      </w:r>
    </w:p>
    <w:sectPr w:rsidR="007F6498" w:rsidRPr="006920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6F65"/>
    <w:multiLevelType w:val="multilevel"/>
    <w:tmpl w:val="64BC1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13A95"/>
    <w:multiLevelType w:val="multilevel"/>
    <w:tmpl w:val="3F96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7627C"/>
    <w:multiLevelType w:val="multilevel"/>
    <w:tmpl w:val="DA8C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3506B"/>
    <w:multiLevelType w:val="hybridMultilevel"/>
    <w:tmpl w:val="9BE4258E"/>
    <w:lvl w:ilvl="0" w:tplc="FEAEF0F6">
      <w:start w:val="15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BC5D5D"/>
    <w:multiLevelType w:val="multilevel"/>
    <w:tmpl w:val="E6389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27797E"/>
    <w:multiLevelType w:val="multilevel"/>
    <w:tmpl w:val="78AA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706B27"/>
    <w:multiLevelType w:val="multilevel"/>
    <w:tmpl w:val="EAA4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2512A5"/>
    <w:multiLevelType w:val="multilevel"/>
    <w:tmpl w:val="FD20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9E1D6B"/>
    <w:multiLevelType w:val="multilevel"/>
    <w:tmpl w:val="A084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B454A7"/>
    <w:multiLevelType w:val="multilevel"/>
    <w:tmpl w:val="83B8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D00216"/>
    <w:multiLevelType w:val="hybridMultilevel"/>
    <w:tmpl w:val="7E1EEB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E107B29"/>
    <w:multiLevelType w:val="multilevel"/>
    <w:tmpl w:val="66AC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F945B7"/>
    <w:multiLevelType w:val="multilevel"/>
    <w:tmpl w:val="6D3C0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1B5B10"/>
    <w:multiLevelType w:val="multilevel"/>
    <w:tmpl w:val="806E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B453D2"/>
    <w:multiLevelType w:val="multilevel"/>
    <w:tmpl w:val="EC9C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A329DE"/>
    <w:multiLevelType w:val="multilevel"/>
    <w:tmpl w:val="D1A2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491535"/>
    <w:multiLevelType w:val="multilevel"/>
    <w:tmpl w:val="8614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0A4722"/>
    <w:multiLevelType w:val="hybridMultilevel"/>
    <w:tmpl w:val="B2645A2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DDA3C1C"/>
    <w:multiLevelType w:val="hybridMultilevel"/>
    <w:tmpl w:val="84D8D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E855401"/>
    <w:multiLevelType w:val="multilevel"/>
    <w:tmpl w:val="C4382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8D6F57"/>
    <w:multiLevelType w:val="multilevel"/>
    <w:tmpl w:val="67E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055D7D"/>
    <w:multiLevelType w:val="multilevel"/>
    <w:tmpl w:val="A7D2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CA382C"/>
    <w:multiLevelType w:val="hybridMultilevel"/>
    <w:tmpl w:val="4CC46612"/>
    <w:lvl w:ilvl="0" w:tplc="DA9AD86C">
      <w:start w:val="15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B1C506C"/>
    <w:multiLevelType w:val="hybridMultilevel"/>
    <w:tmpl w:val="307E97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C4324DC"/>
    <w:multiLevelType w:val="multilevel"/>
    <w:tmpl w:val="8E32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DE5D32"/>
    <w:multiLevelType w:val="multilevel"/>
    <w:tmpl w:val="27265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6230CD"/>
    <w:multiLevelType w:val="hybridMultilevel"/>
    <w:tmpl w:val="085A9D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0F51054"/>
    <w:multiLevelType w:val="multilevel"/>
    <w:tmpl w:val="0F14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8960CB"/>
    <w:multiLevelType w:val="hybridMultilevel"/>
    <w:tmpl w:val="C4F470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49F2E39"/>
    <w:multiLevelType w:val="multilevel"/>
    <w:tmpl w:val="E0B6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6564C4"/>
    <w:multiLevelType w:val="multilevel"/>
    <w:tmpl w:val="135C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A5792F"/>
    <w:multiLevelType w:val="multilevel"/>
    <w:tmpl w:val="8BEA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7856C6"/>
    <w:multiLevelType w:val="hybridMultilevel"/>
    <w:tmpl w:val="78E420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1350A37"/>
    <w:multiLevelType w:val="multilevel"/>
    <w:tmpl w:val="227E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4851451"/>
    <w:multiLevelType w:val="multilevel"/>
    <w:tmpl w:val="2536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B154711"/>
    <w:multiLevelType w:val="multilevel"/>
    <w:tmpl w:val="4528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43345C"/>
    <w:multiLevelType w:val="multilevel"/>
    <w:tmpl w:val="C0B6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B27FE8"/>
    <w:multiLevelType w:val="multilevel"/>
    <w:tmpl w:val="5524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EE3C9F"/>
    <w:multiLevelType w:val="multilevel"/>
    <w:tmpl w:val="CD3E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1A4774"/>
    <w:multiLevelType w:val="multilevel"/>
    <w:tmpl w:val="CD66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38D2903"/>
    <w:multiLevelType w:val="multilevel"/>
    <w:tmpl w:val="26247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9D7226"/>
    <w:multiLevelType w:val="multilevel"/>
    <w:tmpl w:val="C89A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DA03BB"/>
    <w:multiLevelType w:val="multilevel"/>
    <w:tmpl w:val="ADBC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C94313"/>
    <w:multiLevelType w:val="hybridMultilevel"/>
    <w:tmpl w:val="BC3024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BF23B27"/>
    <w:multiLevelType w:val="multilevel"/>
    <w:tmpl w:val="1870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633DA4"/>
    <w:multiLevelType w:val="multilevel"/>
    <w:tmpl w:val="0FCED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8517BD"/>
    <w:multiLevelType w:val="multilevel"/>
    <w:tmpl w:val="C71C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B2225D"/>
    <w:multiLevelType w:val="hybridMultilevel"/>
    <w:tmpl w:val="BFA0DDFE"/>
    <w:lvl w:ilvl="0" w:tplc="EE78081E">
      <w:start w:val="15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0"/>
  </w:num>
  <w:num w:numId="4">
    <w:abstractNumId w:val="26"/>
  </w:num>
  <w:num w:numId="5">
    <w:abstractNumId w:val="23"/>
  </w:num>
  <w:num w:numId="6">
    <w:abstractNumId w:val="32"/>
  </w:num>
  <w:num w:numId="7">
    <w:abstractNumId w:val="28"/>
  </w:num>
  <w:num w:numId="8">
    <w:abstractNumId w:val="18"/>
  </w:num>
  <w:num w:numId="9">
    <w:abstractNumId w:val="43"/>
  </w:num>
  <w:num w:numId="10">
    <w:abstractNumId w:val="5"/>
  </w:num>
  <w:num w:numId="11">
    <w:abstractNumId w:val="13"/>
  </w:num>
  <w:num w:numId="12">
    <w:abstractNumId w:val="36"/>
  </w:num>
  <w:num w:numId="13">
    <w:abstractNumId w:val="8"/>
  </w:num>
  <w:num w:numId="14">
    <w:abstractNumId w:val="41"/>
  </w:num>
  <w:num w:numId="15">
    <w:abstractNumId w:val="39"/>
  </w:num>
  <w:num w:numId="16">
    <w:abstractNumId w:val="21"/>
  </w:num>
  <w:num w:numId="17">
    <w:abstractNumId w:val="44"/>
  </w:num>
  <w:num w:numId="18">
    <w:abstractNumId w:val="46"/>
  </w:num>
  <w:num w:numId="19">
    <w:abstractNumId w:val="15"/>
  </w:num>
  <w:num w:numId="20">
    <w:abstractNumId w:val="1"/>
  </w:num>
  <w:num w:numId="21">
    <w:abstractNumId w:val="12"/>
  </w:num>
  <w:num w:numId="22">
    <w:abstractNumId w:val="7"/>
  </w:num>
  <w:num w:numId="23">
    <w:abstractNumId w:val="30"/>
  </w:num>
  <w:num w:numId="24">
    <w:abstractNumId w:val="9"/>
  </w:num>
  <w:num w:numId="25">
    <w:abstractNumId w:val="42"/>
  </w:num>
  <w:num w:numId="26">
    <w:abstractNumId w:val="6"/>
  </w:num>
  <w:num w:numId="27">
    <w:abstractNumId w:val="29"/>
  </w:num>
  <w:num w:numId="28">
    <w:abstractNumId w:val="34"/>
  </w:num>
  <w:num w:numId="29">
    <w:abstractNumId w:val="16"/>
  </w:num>
  <w:num w:numId="30">
    <w:abstractNumId w:val="11"/>
  </w:num>
  <w:num w:numId="31">
    <w:abstractNumId w:val="4"/>
  </w:num>
  <w:num w:numId="32">
    <w:abstractNumId w:val="14"/>
  </w:num>
  <w:num w:numId="33">
    <w:abstractNumId w:val="20"/>
  </w:num>
  <w:num w:numId="34">
    <w:abstractNumId w:val="25"/>
  </w:num>
  <w:num w:numId="35">
    <w:abstractNumId w:val="37"/>
  </w:num>
  <w:num w:numId="36">
    <w:abstractNumId w:val="31"/>
  </w:num>
  <w:num w:numId="37">
    <w:abstractNumId w:val="33"/>
  </w:num>
  <w:num w:numId="38">
    <w:abstractNumId w:val="38"/>
  </w:num>
  <w:num w:numId="39">
    <w:abstractNumId w:val="45"/>
  </w:num>
  <w:num w:numId="40">
    <w:abstractNumId w:val="27"/>
  </w:num>
  <w:num w:numId="41">
    <w:abstractNumId w:val="35"/>
  </w:num>
  <w:num w:numId="42">
    <w:abstractNumId w:val="24"/>
  </w:num>
  <w:num w:numId="43">
    <w:abstractNumId w:val="19"/>
  </w:num>
  <w:num w:numId="44">
    <w:abstractNumId w:val="40"/>
  </w:num>
  <w:num w:numId="45">
    <w:abstractNumId w:val="2"/>
  </w:num>
  <w:num w:numId="46">
    <w:abstractNumId w:val="3"/>
  </w:num>
  <w:num w:numId="47">
    <w:abstractNumId w:val="47"/>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C18"/>
    <w:rsid w:val="00002A82"/>
    <w:rsid w:val="0000752D"/>
    <w:rsid w:val="00017155"/>
    <w:rsid w:val="000360DE"/>
    <w:rsid w:val="00051E60"/>
    <w:rsid w:val="000B7F3B"/>
    <w:rsid w:val="000E5173"/>
    <w:rsid w:val="000F71EC"/>
    <w:rsid w:val="00101ECB"/>
    <w:rsid w:val="001468F3"/>
    <w:rsid w:val="001B0E75"/>
    <w:rsid w:val="001F1603"/>
    <w:rsid w:val="00222FBA"/>
    <w:rsid w:val="0029529A"/>
    <w:rsid w:val="002D1BC8"/>
    <w:rsid w:val="002E616A"/>
    <w:rsid w:val="00335955"/>
    <w:rsid w:val="00346C98"/>
    <w:rsid w:val="00404175"/>
    <w:rsid w:val="004250D6"/>
    <w:rsid w:val="004A558B"/>
    <w:rsid w:val="004C6E7A"/>
    <w:rsid w:val="004E6163"/>
    <w:rsid w:val="0054178E"/>
    <w:rsid w:val="005668A2"/>
    <w:rsid w:val="0058646D"/>
    <w:rsid w:val="005C27D9"/>
    <w:rsid w:val="005D4980"/>
    <w:rsid w:val="005E461F"/>
    <w:rsid w:val="005F36C5"/>
    <w:rsid w:val="006174C5"/>
    <w:rsid w:val="006378E2"/>
    <w:rsid w:val="006861E1"/>
    <w:rsid w:val="00692007"/>
    <w:rsid w:val="006A721B"/>
    <w:rsid w:val="00761B69"/>
    <w:rsid w:val="00782DB6"/>
    <w:rsid w:val="007928D3"/>
    <w:rsid w:val="007947C3"/>
    <w:rsid w:val="007F6498"/>
    <w:rsid w:val="008163DE"/>
    <w:rsid w:val="00842EC2"/>
    <w:rsid w:val="008F4654"/>
    <w:rsid w:val="00931414"/>
    <w:rsid w:val="00955282"/>
    <w:rsid w:val="009B564D"/>
    <w:rsid w:val="009F52E7"/>
    <w:rsid w:val="00A26429"/>
    <w:rsid w:val="00A8258C"/>
    <w:rsid w:val="00A9340D"/>
    <w:rsid w:val="00AF3E52"/>
    <w:rsid w:val="00B33304"/>
    <w:rsid w:val="00BC3061"/>
    <w:rsid w:val="00BD70D3"/>
    <w:rsid w:val="00C44B31"/>
    <w:rsid w:val="00CA49E7"/>
    <w:rsid w:val="00CC53AC"/>
    <w:rsid w:val="00D06C18"/>
    <w:rsid w:val="00D567E0"/>
    <w:rsid w:val="00D736E4"/>
    <w:rsid w:val="00D76F1A"/>
    <w:rsid w:val="00D916DE"/>
    <w:rsid w:val="00DA3457"/>
    <w:rsid w:val="00DB5362"/>
    <w:rsid w:val="00DE3A45"/>
    <w:rsid w:val="00DF4779"/>
    <w:rsid w:val="00E03452"/>
    <w:rsid w:val="00E14162"/>
    <w:rsid w:val="00E230E4"/>
    <w:rsid w:val="00E56F05"/>
    <w:rsid w:val="00E71814"/>
    <w:rsid w:val="00EE51F4"/>
    <w:rsid w:val="00F03B3F"/>
    <w:rsid w:val="00F45A5D"/>
    <w:rsid w:val="00FB31D8"/>
    <w:rsid w:val="00FC2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075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4C6E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1F16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736E4"/>
    <w:pPr>
      <w:ind w:left="720"/>
      <w:contextualSpacing/>
    </w:pPr>
  </w:style>
  <w:style w:type="character" w:styleId="Hypertextovodkaz">
    <w:name w:val="Hyperlink"/>
    <w:basedOn w:val="Standardnpsmoodstavce"/>
    <w:uiPriority w:val="99"/>
    <w:unhideWhenUsed/>
    <w:rsid w:val="004E6163"/>
    <w:rPr>
      <w:color w:val="0563C1" w:themeColor="hyperlink"/>
      <w:u w:val="single"/>
    </w:rPr>
  </w:style>
  <w:style w:type="character" w:customStyle="1" w:styleId="UnresolvedMention">
    <w:name w:val="Unresolved Mention"/>
    <w:basedOn w:val="Standardnpsmoodstavce"/>
    <w:uiPriority w:val="99"/>
    <w:semiHidden/>
    <w:unhideWhenUsed/>
    <w:rsid w:val="004E6163"/>
    <w:rPr>
      <w:color w:val="605E5C"/>
      <w:shd w:val="clear" w:color="auto" w:fill="E1DFDD"/>
    </w:rPr>
  </w:style>
  <w:style w:type="character" w:customStyle="1" w:styleId="Nadpis2Char">
    <w:name w:val="Nadpis 2 Char"/>
    <w:basedOn w:val="Standardnpsmoodstavce"/>
    <w:link w:val="Nadpis2"/>
    <w:uiPriority w:val="9"/>
    <w:rsid w:val="004C6E7A"/>
    <w:rPr>
      <w:rFonts w:asciiTheme="majorHAnsi" w:eastAsiaTheme="majorEastAsia" w:hAnsiTheme="majorHAnsi" w:cstheme="majorBidi"/>
      <w:color w:val="2F5496" w:themeColor="accent1" w:themeShade="BF"/>
      <w:sz w:val="26"/>
      <w:szCs w:val="26"/>
    </w:rPr>
  </w:style>
  <w:style w:type="paragraph" w:styleId="Normlnweb">
    <w:name w:val="Normal (Web)"/>
    <w:basedOn w:val="Normln"/>
    <w:uiPriority w:val="99"/>
    <w:semiHidden/>
    <w:unhideWhenUsed/>
    <w:rsid w:val="00FC29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FC297B"/>
    <w:rPr>
      <w:i/>
      <w:iCs/>
    </w:rPr>
  </w:style>
  <w:style w:type="character" w:customStyle="1" w:styleId="Nadpis1Char">
    <w:name w:val="Nadpis 1 Char"/>
    <w:basedOn w:val="Standardnpsmoodstavce"/>
    <w:link w:val="Nadpis1"/>
    <w:uiPriority w:val="9"/>
    <w:rsid w:val="0000752D"/>
    <w:rPr>
      <w:rFonts w:asciiTheme="majorHAnsi" w:eastAsiaTheme="majorEastAsia" w:hAnsiTheme="majorHAnsi" w:cstheme="majorBidi"/>
      <w:color w:val="2F5496" w:themeColor="accent1" w:themeShade="BF"/>
      <w:sz w:val="32"/>
      <w:szCs w:val="32"/>
    </w:rPr>
  </w:style>
  <w:style w:type="character" w:styleId="Siln">
    <w:name w:val="Strong"/>
    <w:basedOn w:val="Standardnpsmoodstavce"/>
    <w:uiPriority w:val="22"/>
    <w:qFormat/>
    <w:rsid w:val="0000752D"/>
    <w:rPr>
      <w:b/>
      <w:bCs/>
    </w:rPr>
  </w:style>
  <w:style w:type="paragraph" w:customStyle="1" w:styleId="Titulek1">
    <w:name w:val="Titulek1"/>
    <w:basedOn w:val="Normln"/>
    <w:rsid w:val="0000752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1F1603"/>
    <w:rPr>
      <w:rFonts w:asciiTheme="majorHAnsi" w:eastAsiaTheme="majorEastAsia" w:hAnsiTheme="majorHAnsi" w:cstheme="majorBidi"/>
      <w:color w:val="1F3763" w:themeColor="accent1" w:themeShade="7F"/>
      <w:sz w:val="24"/>
      <w:szCs w:val="24"/>
    </w:rPr>
  </w:style>
  <w:style w:type="paragraph" w:styleId="Textbubliny">
    <w:name w:val="Balloon Text"/>
    <w:basedOn w:val="Normln"/>
    <w:link w:val="TextbublinyChar"/>
    <w:uiPriority w:val="99"/>
    <w:semiHidden/>
    <w:unhideWhenUsed/>
    <w:rsid w:val="004041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04175"/>
    <w:rPr>
      <w:rFonts w:ascii="Tahoma" w:hAnsi="Tahoma" w:cs="Tahoma"/>
      <w:sz w:val="16"/>
      <w:szCs w:val="16"/>
    </w:rPr>
  </w:style>
  <w:style w:type="character" w:styleId="Zstupntext">
    <w:name w:val="Placeholder Text"/>
    <w:basedOn w:val="Standardnpsmoodstavce"/>
    <w:uiPriority w:val="99"/>
    <w:semiHidden/>
    <w:rsid w:val="001B0E75"/>
    <w:rPr>
      <w:color w:val="808080"/>
    </w:rPr>
  </w:style>
  <w:style w:type="table" w:styleId="Mkatabulky">
    <w:name w:val="Table Grid"/>
    <w:basedOn w:val="Normlntabulka"/>
    <w:uiPriority w:val="39"/>
    <w:rsid w:val="00DA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ev1">
    <w:name w:val="Název1"/>
    <w:basedOn w:val="Standardnpsmoodstavce"/>
    <w:rsid w:val="00346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0075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4C6E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1F160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736E4"/>
    <w:pPr>
      <w:ind w:left="720"/>
      <w:contextualSpacing/>
    </w:pPr>
  </w:style>
  <w:style w:type="character" w:styleId="Hypertextovodkaz">
    <w:name w:val="Hyperlink"/>
    <w:basedOn w:val="Standardnpsmoodstavce"/>
    <w:uiPriority w:val="99"/>
    <w:unhideWhenUsed/>
    <w:rsid w:val="004E6163"/>
    <w:rPr>
      <w:color w:val="0563C1" w:themeColor="hyperlink"/>
      <w:u w:val="single"/>
    </w:rPr>
  </w:style>
  <w:style w:type="character" w:customStyle="1" w:styleId="UnresolvedMention">
    <w:name w:val="Unresolved Mention"/>
    <w:basedOn w:val="Standardnpsmoodstavce"/>
    <w:uiPriority w:val="99"/>
    <w:semiHidden/>
    <w:unhideWhenUsed/>
    <w:rsid w:val="004E6163"/>
    <w:rPr>
      <w:color w:val="605E5C"/>
      <w:shd w:val="clear" w:color="auto" w:fill="E1DFDD"/>
    </w:rPr>
  </w:style>
  <w:style w:type="character" w:customStyle="1" w:styleId="Nadpis2Char">
    <w:name w:val="Nadpis 2 Char"/>
    <w:basedOn w:val="Standardnpsmoodstavce"/>
    <w:link w:val="Nadpis2"/>
    <w:uiPriority w:val="9"/>
    <w:rsid w:val="004C6E7A"/>
    <w:rPr>
      <w:rFonts w:asciiTheme="majorHAnsi" w:eastAsiaTheme="majorEastAsia" w:hAnsiTheme="majorHAnsi" w:cstheme="majorBidi"/>
      <w:color w:val="2F5496" w:themeColor="accent1" w:themeShade="BF"/>
      <w:sz w:val="26"/>
      <w:szCs w:val="26"/>
    </w:rPr>
  </w:style>
  <w:style w:type="paragraph" w:styleId="Normlnweb">
    <w:name w:val="Normal (Web)"/>
    <w:basedOn w:val="Normln"/>
    <w:uiPriority w:val="99"/>
    <w:semiHidden/>
    <w:unhideWhenUsed/>
    <w:rsid w:val="00FC297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FC297B"/>
    <w:rPr>
      <w:i/>
      <w:iCs/>
    </w:rPr>
  </w:style>
  <w:style w:type="character" w:customStyle="1" w:styleId="Nadpis1Char">
    <w:name w:val="Nadpis 1 Char"/>
    <w:basedOn w:val="Standardnpsmoodstavce"/>
    <w:link w:val="Nadpis1"/>
    <w:uiPriority w:val="9"/>
    <w:rsid w:val="0000752D"/>
    <w:rPr>
      <w:rFonts w:asciiTheme="majorHAnsi" w:eastAsiaTheme="majorEastAsia" w:hAnsiTheme="majorHAnsi" w:cstheme="majorBidi"/>
      <w:color w:val="2F5496" w:themeColor="accent1" w:themeShade="BF"/>
      <w:sz w:val="32"/>
      <w:szCs w:val="32"/>
    </w:rPr>
  </w:style>
  <w:style w:type="character" w:styleId="Siln">
    <w:name w:val="Strong"/>
    <w:basedOn w:val="Standardnpsmoodstavce"/>
    <w:uiPriority w:val="22"/>
    <w:qFormat/>
    <w:rsid w:val="0000752D"/>
    <w:rPr>
      <w:b/>
      <w:bCs/>
    </w:rPr>
  </w:style>
  <w:style w:type="paragraph" w:customStyle="1" w:styleId="Titulek1">
    <w:name w:val="Titulek1"/>
    <w:basedOn w:val="Normln"/>
    <w:rsid w:val="0000752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1F1603"/>
    <w:rPr>
      <w:rFonts w:asciiTheme="majorHAnsi" w:eastAsiaTheme="majorEastAsia" w:hAnsiTheme="majorHAnsi" w:cstheme="majorBidi"/>
      <w:color w:val="1F3763" w:themeColor="accent1" w:themeShade="7F"/>
      <w:sz w:val="24"/>
      <w:szCs w:val="24"/>
    </w:rPr>
  </w:style>
  <w:style w:type="paragraph" w:styleId="Textbubliny">
    <w:name w:val="Balloon Text"/>
    <w:basedOn w:val="Normln"/>
    <w:link w:val="TextbublinyChar"/>
    <w:uiPriority w:val="99"/>
    <w:semiHidden/>
    <w:unhideWhenUsed/>
    <w:rsid w:val="0040417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04175"/>
    <w:rPr>
      <w:rFonts w:ascii="Tahoma" w:hAnsi="Tahoma" w:cs="Tahoma"/>
      <w:sz w:val="16"/>
      <w:szCs w:val="16"/>
    </w:rPr>
  </w:style>
  <w:style w:type="character" w:styleId="Zstupntext">
    <w:name w:val="Placeholder Text"/>
    <w:basedOn w:val="Standardnpsmoodstavce"/>
    <w:uiPriority w:val="99"/>
    <w:semiHidden/>
    <w:rsid w:val="001B0E75"/>
    <w:rPr>
      <w:color w:val="808080"/>
    </w:rPr>
  </w:style>
  <w:style w:type="table" w:styleId="Mkatabulky">
    <w:name w:val="Table Grid"/>
    <w:basedOn w:val="Normlntabulka"/>
    <w:uiPriority w:val="39"/>
    <w:rsid w:val="00DA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ev1">
    <w:name w:val="Název1"/>
    <w:basedOn w:val="Standardnpsmoodstavce"/>
    <w:rsid w:val="00346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6101">
      <w:bodyDiv w:val="1"/>
      <w:marLeft w:val="0"/>
      <w:marRight w:val="0"/>
      <w:marTop w:val="0"/>
      <w:marBottom w:val="0"/>
      <w:divBdr>
        <w:top w:val="none" w:sz="0" w:space="0" w:color="auto"/>
        <w:left w:val="none" w:sz="0" w:space="0" w:color="auto"/>
        <w:bottom w:val="none" w:sz="0" w:space="0" w:color="auto"/>
        <w:right w:val="none" w:sz="0" w:space="0" w:color="auto"/>
      </w:divBdr>
    </w:div>
    <w:div w:id="66194055">
      <w:bodyDiv w:val="1"/>
      <w:marLeft w:val="0"/>
      <w:marRight w:val="0"/>
      <w:marTop w:val="0"/>
      <w:marBottom w:val="0"/>
      <w:divBdr>
        <w:top w:val="none" w:sz="0" w:space="0" w:color="auto"/>
        <w:left w:val="none" w:sz="0" w:space="0" w:color="auto"/>
        <w:bottom w:val="none" w:sz="0" w:space="0" w:color="auto"/>
        <w:right w:val="none" w:sz="0" w:space="0" w:color="auto"/>
      </w:divBdr>
    </w:div>
    <w:div w:id="175651884">
      <w:bodyDiv w:val="1"/>
      <w:marLeft w:val="0"/>
      <w:marRight w:val="0"/>
      <w:marTop w:val="0"/>
      <w:marBottom w:val="0"/>
      <w:divBdr>
        <w:top w:val="none" w:sz="0" w:space="0" w:color="auto"/>
        <w:left w:val="none" w:sz="0" w:space="0" w:color="auto"/>
        <w:bottom w:val="none" w:sz="0" w:space="0" w:color="auto"/>
        <w:right w:val="none" w:sz="0" w:space="0" w:color="auto"/>
      </w:divBdr>
    </w:div>
    <w:div w:id="223488783">
      <w:bodyDiv w:val="1"/>
      <w:marLeft w:val="0"/>
      <w:marRight w:val="0"/>
      <w:marTop w:val="0"/>
      <w:marBottom w:val="0"/>
      <w:divBdr>
        <w:top w:val="none" w:sz="0" w:space="0" w:color="auto"/>
        <w:left w:val="none" w:sz="0" w:space="0" w:color="auto"/>
        <w:bottom w:val="none" w:sz="0" w:space="0" w:color="auto"/>
        <w:right w:val="none" w:sz="0" w:space="0" w:color="auto"/>
      </w:divBdr>
    </w:div>
    <w:div w:id="328405390">
      <w:bodyDiv w:val="1"/>
      <w:marLeft w:val="0"/>
      <w:marRight w:val="0"/>
      <w:marTop w:val="0"/>
      <w:marBottom w:val="0"/>
      <w:divBdr>
        <w:top w:val="none" w:sz="0" w:space="0" w:color="auto"/>
        <w:left w:val="none" w:sz="0" w:space="0" w:color="auto"/>
        <w:bottom w:val="none" w:sz="0" w:space="0" w:color="auto"/>
        <w:right w:val="none" w:sz="0" w:space="0" w:color="auto"/>
      </w:divBdr>
    </w:div>
    <w:div w:id="378163822">
      <w:bodyDiv w:val="1"/>
      <w:marLeft w:val="0"/>
      <w:marRight w:val="0"/>
      <w:marTop w:val="0"/>
      <w:marBottom w:val="0"/>
      <w:divBdr>
        <w:top w:val="none" w:sz="0" w:space="0" w:color="auto"/>
        <w:left w:val="none" w:sz="0" w:space="0" w:color="auto"/>
        <w:bottom w:val="none" w:sz="0" w:space="0" w:color="auto"/>
        <w:right w:val="none" w:sz="0" w:space="0" w:color="auto"/>
      </w:divBdr>
    </w:div>
    <w:div w:id="525172591">
      <w:bodyDiv w:val="1"/>
      <w:marLeft w:val="0"/>
      <w:marRight w:val="0"/>
      <w:marTop w:val="0"/>
      <w:marBottom w:val="0"/>
      <w:divBdr>
        <w:top w:val="none" w:sz="0" w:space="0" w:color="auto"/>
        <w:left w:val="none" w:sz="0" w:space="0" w:color="auto"/>
        <w:bottom w:val="none" w:sz="0" w:space="0" w:color="auto"/>
        <w:right w:val="none" w:sz="0" w:space="0" w:color="auto"/>
      </w:divBdr>
    </w:div>
    <w:div w:id="630132325">
      <w:bodyDiv w:val="1"/>
      <w:marLeft w:val="0"/>
      <w:marRight w:val="0"/>
      <w:marTop w:val="0"/>
      <w:marBottom w:val="0"/>
      <w:divBdr>
        <w:top w:val="none" w:sz="0" w:space="0" w:color="auto"/>
        <w:left w:val="none" w:sz="0" w:space="0" w:color="auto"/>
        <w:bottom w:val="none" w:sz="0" w:space="0" w:color="auto"/>
        <w:right w:val="none" w:sz="0" w:space="0" w:color="auto"/>
      </w:divBdr>
    </w:div>
    <w:div w:id="634874353">
      <w:bodyDiv w:val="1"/>
      <w:marLeft w:val="0"/>
      <w:marRight w:val="0"/>
      <w:marTop w:val="0"/>
      <w:marBottom w:val="0"/>
      <w:divBdr>
        <w:top w:val="none" w:sz="0" w:space="0" w:color="auto"/>
        <w:left w:val="none" w:sz="0" w:space="0" w:color="auto"/>
        <w:bottom w:val="none" w:sz="0" w:space="0" w:color="auto"/>
        <w:right w:val="none" w:sz="0" w:space="0" w:color="auto"/>
      </w:divBdr>
    </w:div>
    <w:div w:id="724523823">
      <w:bodyDiv w:val="1"/>
      <w:marLeft w:val="0"/>
      <w:marRight w:val="0"/>
      <w:marTop w:val="0"/>
      <w:marBottom w:val="0"/>
      <w:divBdr>
        <w:top w:val="none" w:sz="0" w:space="0" w:color="auto"/>
        <w:left w:val="none" w:sz="0" w:space="0" w:color="auto"/>
        <w:bottom w:val="none" w:sz="0" w:space="0" w:color="auto"/>
        <w:right w:val="none" w:sz="0" w:space="0" w:color="auto"/>
      </w:divBdr>
    </w:div>
    <w:div w:id="728772255">
      <w:bodyDiv w:val="1"/>
      <w:marLeft w:val="0"/>
      <w:marRight w:val="0"/>
      <w:marTop w:val="0"/>
      <w:marBottom w:val="0"/>
      <w:divBdr>
        <w:top w:val="none" w:sz="0" w:space="0" w:color="auto"/>
        <w:left w:val="none" w:sz="0" w:space="0" w:color="auto"/>
        <w:bottom w:val="none" w:sz="0" w:space="0" w:color="auto"/>
        <w:right w:val="none" w:sz="0" w:space="0" w:color="auto"/>
      </w:divBdr>
    </w:div>
    <w:div w:id="771317963">
      <w:bodyDiv w:val="1"/>
      <w:marLeft w:val="0"/>
      <w:marRight w:val="0"/>
      <w:marTop w:val="0"/>
      <w:marBottom w:val="0"/>
      <w:divBdr>
        <w:top w:val="none" w:sz="0" w:space="0" w:color="auto"/>
        <w:left w:val="none" w:sz="0" w:space="0" w:color="auto"/>
        <w:bottom w:val="none" w:sz="0" w:space="0" w:color="auto"/>
        <w:right w:val="none" w:sz="0" w:space="0" w:color="auto"/>
      </w:divBdr>
    </w:div>
    <w:div w:id="837501104">
      <w:bodyDiv w:val="1"/>
      <w:marLeft w:val="0"/>
      <w:marRight w:val="0"/>
      <w:marTop w:val="0"/>
      <w:marBottom w:val="0"/>
      <w:divBdr>
        <w:top w:val="none" w:sz="0" w:space="0" w:color="auto"/>
        <w:left w:val="none" w:sz="0" w:space="0" w:color="auto"/>
        <w:bottom w:val="none" w:sz="0" w:space="0" w:color="auto"/>
        <w:right w:val="none" w:sz="0" w:space="0" w:color="auto"/>
      </w:divBdr>
    </w:div>
    <w:div w:id="1048339641">
      <w:bodyDiv w:val="1"/>
      <w:marLeft w:val="0"/>
      <w:marRight w:val="0"/>
      <w:marTop w:val="0"/>
      <w:marBottom w:val="0"/>
      <w:divBdr>
        <w:top w:val="none" w:sz="0" w:space="0" w:color="auto"/>
        <w:left w:val="none" w:sz="0" w:space="0" w:color="auto"/>
        <w:bottom w:val="none" w:sz="0" w:space="0" w:color="auto"/>
        <w:right w:val="none" w:sz="0" w:space="0" w:color="auto"/>
      </w:divBdr>
    </w:div>
    <w:div w:id="1070690491">
      <w:bodyDiv w:val="1"/>
      <w:marLeft w:val="0"/>
      <w:marRight w:val="0"/>
      <w:marTop w:val="0"/>
      <w:marBottom w:val="0"/>
      <w:divBdr>
        <w:top w:val="none" w:sz="0" w:space="0" w:color="auto"/>
        <w:left w:val="none" w:sz="0" w:space="0" w:color="auto"/>
        <w:bottom w:val="none" w:sz="0" w:space="0" w:color="auto"/>
        <w:right w:val="none" w:sz="0" w:space="0" w:color="auto"/>
      </w:divBdr>
      <w:divsChild>
        <w:div w:id="414010097">
          <w:marLeft w:val="0"/>
          <w:marRight w:val="0"/>
          <w:marTop w:val="0"/>
          <w:marBottom w:val="0"/>
          <w:divBdr>
            <w:top w:val="none" w:sz="0" w:space="0" w:color="auto"/>
            <w:left w:val="none" w:sz="0" w:space="0" w:color="auto"/>
            <w:bottom w:val="none" w:sz="0" w:space="0" w:color="auto"/>
            <w:right w:val="none" w:sz="0" w:space="0" w:color="auto"/>
          </w:divBdr>
        </w:div>
        <w:div w:id="710619301">
          <w:marLeft w:val="0"/>
          <w:marRight w:val="0"/>
          <w:marTop w:val="0"/>
          <w:marBottom w:val="0"/>
          <w:divBdr>
            <w:top w:val="none" w:sz="0" w:space="0" w:color="auto"/>
            <w:left w:val="none" w:sz="0" w:space="0" w:color="auto"/>
            <w:bottom w:val="none" w:sz="0" w:space="0" w:color="auto"/>
            <w:right w:val="none" w:sz="0" w:space="0" w:color="auto"/>
          </w:divBdr>
        </w:div>
      </w:divsChild>
    </w:div>
    <w:div w:id="1108500598">
      <w:bodyDiv w:val="1"/>
      <w:marLeft w:val="0"/>
      <w:marRight w:val="0"/>
      <w:marTop w:val="0"/>
      <w:marBottom w:val="0"/>
      <w:divBdr>
        <w:top w:val="none" w:sz="0" w:space="0" w:color="auto"/>
        <w:left w:val="none" w:sz="0" w:space="0" w:color="auto"/>
        <w:bottom w:val="none" w:sz="0" w:space="0" w:color="auto"/>
        <w:right w:val="none" w:sz="0" w:space="0" w:color="auto"/>
      </w:divBdr>
    </w:div>
    <w:div w:id="1382635810">
      <w:bodyDiv w:val="1"/>
      <w:marLeft w:val="0"/>
      <w:marRight w:val="0"/>
      <w:marTop w:val="0"/>
      <w:marBottom w:val="0"/>
      <w:divBdr>
        <w:top w:val="none" w:sz="0" w:space="0" w:color="auto"/>
        <w:left w:val="none" w:sz="0" w:space="0" w:color="auto"/>
        <w:bottom w:val="none" w:sz="0" w:space="0" w:color="auto"/>
        <w:right w:val="none" w:sz="0" w:space="0" w:color="auto"/>
      </w:divBdr>
      <w:divsChild>
        <w:div w:id="1294562594">
          <w:marLeft w:val="0"/>
          <w:marRight w:val="0"/>
          <w:marTop w:val="0"/>
          <w:marBottom w:val="0"/>
          <w:divBdr>
            <w:top w:val="none" w:sz="0" w:space="0" w:color="auto"/>
            <w:left w:val="none" w:sz="0" w:space="0" w:color="auto"/>
            <w:bottom w:val="none" w:sz="0" w:space="0" w:color="auto"/>
            <w:right w:val="none" w:sz="0" w:space="0" w:color="auto"/>
          </w:divBdr>
        </w:div>
        <w:div w:id="854346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lk21.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2388</Words>
  <Characters>13614</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VŠTE ČB</Company>
  <LinksUpToDate>false</LinksUpToDate>
  <CharactersWithSpaces>15971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Bartuška Ladislav</cp:lastModifiedBy>
  <cp:revision>2</cp:revision>
  <dcterms:created xsi:type="dcterms:W3CDTF">2020-01-06T16:07:00Z</dcterms:created>
  <dcterms:modified xsi:type="dcterms:W3CDTF">2020-01-06T16:07:00Z</dcterms:modified>
</cp:coreProperties>
</file>