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56B18A76" w:rsidR="00B20E6F" w:rsidRPr="00B20E6F" w:rsidRDefault="0087621D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Monika Pavelková</w:t>
      </w:r>
    </w:p>
    <w:p w14:paraId="4E5D6E5C" w14:textId="0748B988" w:rsidR="00727748" w:rsidRPr="00BC4772" w:rsidRDefault="0087621D" w:rsidP="00727748">
      <w:pPr>
        <w:jc w:val="center"/>
      </w:pPr>
      <w:r>
        <w:rPr>
          <w:i/>
          <w:sz w:val="28"/>
          <w:szCs w:val="28"/>
        </w:rPr>
        <w:t>2023</w:t>
      </w:r>
      <w:r w:rsidR="00727748" w:rsidRPr="00BC4772">
        <w:br w:type="page"/>
      </w:r>
    </w:p>
    <w:p w14:paraId="113CDF42" w14:textId="1D671FED" w:rsidR="00727748" w:rsidRPr="00BC4772" w:rsidRDefault="009F3C85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  <w:lang w:eastAsia="cs-CZ"/>
        </w:rPr>
        <w:lastRenderedPageBreak/>
        <w:drawing>
          <wp:inline distT="0" distB="0" distL="0" distR="0" wp14:anchorId="18408E0F" wp14:editId="73DCED43">
            <wp:extent cx="5939790" cy="2316480"/>
            <wp:effectExtent l="0" t="0" r="381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h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00CDBD6A" w14:textId="77777777" w:rsidR="008C3F0A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34729031" w:history="1">
        <w:r w:rsidR="008C3F0A" w:rsidRPr="006749D5">
          <w:rPr>
            <w:rStyle w:val="Hypertextovodkaz"/>
            <w:noProof/>
          </w:rPr>
          <w:t>1</w:t>
        </w:r>
        <w:r w:rsidR="008C3F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8C3F0A" w:rsidRPr="006749D5">
          <w:rPr>
            <w:rStyle w:val="Hypertextovodkaz"/>
            <w:noProof/>
          </w:rPr>
          <w:t>Úvod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_Toc134729031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4</w:t>
        </w:r>
        <w:r w:rsidR="008C3F0A">
          <w:rPr>
            <w:noProof/>
            <w:webHidden/>
          </w:rPr>
          <w:fldChar w:fldCharType="end"/>
        </w:r>
      </w:hyperlink>
    </w:p>
    <w:p w14:paraId="6FE84A5F" w14:textId="77777777" w:rsidR="008C3F0A" w:rsidRDefault="004E512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2" w:history="1">
        <w:r w:rsidR="008C3F0A" w:rsidRPr="006749D5">
          <w:rPr>
            <w:rStyle w:val="Hypertextovodkaz"/>
            <w:noProof/>
          </w:rPr>
          <w:t>2</w:t>
        </w:r>
        <w:r w:rsidR="008C3F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8C3F0A" w:rsidRPr="006749D5">
          <w:rPr>
            <w:rStyle w:val="Hypertextovodkaz"/>
            <w:noProof/>
          </w:rPr>
          <w:t>Náplň a průběh praxe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_Toc134729032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5</w:t>
        </w:r>
        <w:r w:rsidR="008C3F0A">
          <w:rPr>
            <w:noProof/>
            <w:webHidden/>
          </w:rPr>
          <w:fldChar w:fldCharType="end"/>
        </w:r>
      </w:hyperlink>
    </w:p>
    <w:p w14:paraId="3D7A0790" w14:textId="77777777" w:rsidR="008C3F0A" w:rsidRDefault="004E5122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3" w:history="1">
        <w:r w:rsidR="008C3F0A" w:rsidRPr="006749D5">
          <w:rPr>
            <w:rStyle w:val="Hypertextovodkaz"/>
            <w:noProof/>
          </w:rPr>
          <w:t>2.1 Získávání, přijímání a výběr zaměstnanců a adaptace zaměstnanců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_Toc134729033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5</w:t>
        </w:r>
        <w:r w:rsidR="008C3F0A">
          <w:rPr>
            <w:noProof/>
            <w:webHidden/>
          </w:rPr>
          <w:fldChar w:fldCharType="end"/>
        </w:r>
      </w:hyperlink>
    </w:p>
    <w:p w14:paraId="0D80F7A8" w14:textId="77777777" w:rsidR="008C3F0A" w:rsidRDefault="004E5122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4" w:history="1">
        <w:r w:rsidR="008C3F0A" w:rsidRPr="006749D5">
          <w:rPr>
            <w:rStyle w:val="Hypertextovodkaz"/>
            <w:noProof/>
          </w:rPr>
          <w:t>2.2. Řízení a hodnocení pracovního výkonu zaměstnanců, rozvoj zaměstnanců, motivace a odměňování zaměstnanců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_Toc134729034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5</w:t>
        </w:r>
        <w:r w:rsidR="008C3F0A">
          <w:rPr>
            <w:noProof/>
            <w:webHidden/>
          </w:rPr>
          <w:fldChar w:fldCharType="end"/>
        </w:r>
      </w:hyperlink>
    </w:p>
    <w:p w14:paraId="27A9A16E" w14:textId="77777777" w:rsidR="008C3F0A" w:rsidRDefault="004E5122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5" w:history="1">
        <w:r w:rsidR="008C3F0A" w:rsidRPr="006749D5">
          <w:rPr>
            <w:rStyle w:val="Hypertextovodkaz"/>
            <w:noProof/>
          </w:rPr>
          <w:t>2.3. Podniková kultura včetně etického řízení, zásady komunikace, tvorba týmu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_Toc134729035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6</w:t>
        </w:r>
        <w:r w:rsidR="008C3F0A">
          <w:rPr>
            <w:noProof/>
            <w:webHidden/>
          </w:rPr>
          <w:fldChar w:fldCharType="end"/>
        </w:r>
      </w:hyperlink>
    </w:p>
    <w:p w14:paraId="31A2B1AF" w14:textId="77777777" w:rsidR="008C3F0A" w:rsidRDefault="004E5122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6" w:history="1">
        <w:r w:rsidR="008C3F0A" w:rsidRPr="006749D5">
          <w:rPr>
            <w:rStyle w:val="Hypertextovodkaz"/>
            <w:noProof/>
          </w:rPr>
          <w:t>2.4. Tvorba a vedení personální agendy včetně příslušné legislativy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_Toc134729036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6</w:t>
        </w:r>
        <w:r w:rsidR="008C3F0A">
          <w:rPr>
            <w:noProof/>
            <w:webHidden/>
          </w:rPr>
          <w:fldChar w:fldCharType="end"/>
        </w:r>
      </w:hyperlink>
    </w:p>
    <w:p w14:paraId="49874D4E" w14:textId="77777777" w:rsidR="008C3F0A" w:rsidRDefault="004E5122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7" w:history="1">
        <w:r w:rsidR="008C3F0A" w:rsidRPr="006749D5">
          <w:rPr>
            <w:rStyle w:val="Hypertextovodkaz"/>
            <w:noProof/>
          </w:rPr>
          <w:t>2.5. Komunikace s příslušnými orgány státní a veřejné správy v oblasti HR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_Toc134729037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7</w:t>
        </w:r>
        <w:r w:rsidR="008C3F0A">
          <w:rPr>
            <w:noProof/>
            <w:webHidden/>
          </w:rPr>
          <w:fldChar w:fldCharType="end"/>
        </w:r>
      </w:hyperlink>
    </w:p>
    <w:p w14:paraId="66AD9528" w14:textId="77777777" w:rsidR="008C3F0A" w:rsidRDefault="004E512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8" w:history="1">
        <w:r w:rsidR="008C3F0A" w:rsidRPr="006749D5">
          <w:rPr>
            <w:rStyle w:val="Hypertextovodkaz"/>
            <w:noProof/>
          </w:rPr>
          <w:t>3</w:t>
        </w:r>
        <w:r w:rsidR="008C3F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8C3F0A" w:rsidRPr="006749D5">
          <w:rPr>
            <w:rStyle w:val="Hypertextovodkaz"/>
            <w:noProof/>
          </w:rPr>
          <w:t>Zhodnocení praxe studentem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_Toc134729038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8</w:t>
        </w:r>
        <w:r w:rsidR="008C3F0A">
          <w:rPr>
            <w:noProof/>
            <w:webHidden/>
          </w:rPr>
          <w:fldChar w:fldCharType="end"/>
        </w:r>
      </w:hyperlink>
    </w:p>
    <w:p w14:paraId="2C4007FC" w14:textId="77777777" w:rsidR="008C3F0A" w:rsidRDefault="004E5122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134729039" w:history="1">
        <w:r w:rsidR="008C3F0A" w:rsidRPr="006749D5">
          <w:rPr>
            <w:rStyle w:val="Hypertextovodkaz"/>
            <w:noProof/>
          </w:rPr>
          <w:t>4</w:t>
        </w:r>
        <w:r w:rsidR="008C3F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8C3F0A" w:rsidRPr="006749D5">
          <w:rPr>
            <w:rStyle w:val="Hypertextovodkaz"/>
            <w:noProof/>
          </w:rPr>
          <w:t>Závěr</w:t>
        </w:r>
        <w:r w:rsidR="008C3F0A">
          <w:rPr>
            <w:noProof/>
            <w:webHidden/>
          </w:rPr>
          <w:tab/>
        </w:r>
        <w:r w:rsidR="008C3F0A">
          <w:rPr>
            <w:noProof/>
            <w:webHidden/>
          </w:rPr>
          <w:fldChar w:fldCharType="begin"/>
        </w:r>
        <w:r w:rsidR="008C3F0A">
          <w:rPr>
            <w:noProof/>
            <w:webHidden/>
          </w:rPr>
          <w:instrText xml:space="preserve"> PAGEREF _Toc134729039 \h </w:instrText>
        </w:r>
        <w:r w:rsidR="008C3F0A">
          <w:rPr>
            <w:noProof/>
            <w:webHidden/>
          </w:rPr>
        </w:r>
        <w:r w:rsidR="008C3F0A">
          <w:rPr>
            <w:noProof/>
            <w:webHidden/>
          </w:rPr>
          <w:fldChar w:fldCharType="separate"/>
        </w:r>
        <w:r w:rsidR="008C3F0A">
          <w:rPr>
            <w:noProof/>
            <w:webHidden/>
          </w:rPr>
          <w:t>9</w:t>
        </w:r>
        <w:r w:rsidR="008C3F0A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34729031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33961216" w14:textId="2451DB6D" w:rsidR="00835D49" w:rsidRDefault="00433C2B" w:rsidP="009F63E7">
      <w:pPr>
        <w:shd w:val="clear" w:color="auto" w:fill="FFFFFF"/>
        <w:spacing w:after="0" w:line="360" w:lineRule="auto"/>
        <w:jc w:val="both"/>
        <w:rPr>
          <w:rFonts w:eastAsia="Times New Roman"/>
          <w:color w:val="060604"/>
          <w:szCs w:val="23"/>
          <w:lang w:eastAsia="cs-CZ"/>
        </w:rPr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 w:rsidRPr="006760A9">
        <w:rPr>
          <w:szCs w:val="24"/>
        </w:rPr>
        <w:t>Společnost Penta CZ s.r.o. působí na Českém trhu již více než 30</w:t>
      </w:r>
      <w:r w:rsidR="00355C7B" w:rsidRPr="006760A9">
        <w:rPr>
          <w:szCs w:val="24"/>
        </w:rPr>
        <w:t xml:space="preserve"> let</w:t>
      </w:r>
      <w:r w:rsidRPr="006760A9">
        <w:rPr>
          <w:szCs w:val="24"/>
        </w:rPr>
        <w:t>. Během této doby</w:t>
      </w:r>
      <w:r w:rsidR="00355C7B" w:rsidRPr="006760A9">
        <w:rPr>
          <w:szCs w:val="24"/>
        </w:rPr>
        <w:t xml:space="preserve"> se její působení rozšířilo i na</w:t>
      </w:r>
      <w:r w:rsidRPr="006760A9">
        <w:rPr>
          <w:szCs w:val="24"/>
        </w:rPr>
        <w:t xml:space="preserve"> S</w:t>
      </w:r>
      <w:r w:rsidR="00355C7B" w:rsidRPr="006760A9">
        <w:rPr>
          <w:szCs w:val="24"/>
        </w:rPr>
        <w:t>lovensko</w:t>
      </w:r>
      <w:r w:rsidRPr="006760A9">
        <w:rPr>
          <w:szCs w:val="24"/>
        </w:rPr>
        <w:t>, Ma</w:t>
      </w:r>
      <w:r w:rsidR="00355C7B" w:rsidRPr="006760A9">
        <w:rPr>
          <w:szCs w:val="24"/>
        </w:rPr>
        <w:t>ďarsko,</w:t>
      </w:r>
      <w:r w:rsidRPr="006760A9">
        <w:rPr>
          <w:szCs w:val="24"/>
        </w:rPr>
        <w:t xml:space="preserve"> P</w:t>
      </w:r>
      <w:r w:rsidR="00355C7B" w:rsidRPr="006760A9">
        <w:rPr>
          <w:szCs w:val="24"/>
        </w:rPr>
        <w:t xml:space="preserve">olsko a do dalších evropských zemí. </w:t>
      </w:r>
      <w:r w:rsidR="00FE2C2E">
        <w:rPr>
          <w:szCs w:val="24"/>
        </w:rPr>
        <w:t>Centrála společnosti sídlí ve městě Katovice, které se nachází v Jihočeském kraji nedaleko Strakonic. U</w:t>
      </w:r>
      <w:r w:rsidR="00835D49">
        <w:rPr>
          <w:szCs w:val="24"/>
        </w:rPr>
        <w:t>lice, kde se centrála</w:t>
      </w:r>
      <w:r w:rsidR="00FE2C2E">
        <w:rPr>
          <w:szCs w:val="24"/>
        </w:rPr>
        <w:t xml:space="preserve"> nachází, se jmenuje Kosmetická, s číslem popisným 450.</w:t>
      </w:r>
      <w:r w:rsidR="000D21DA">
        <w:rPr>
          <w:szCs w:val="24"/>
        </w:rPr>
        <w:t xml:space="preserve"> Její jednatelé jsou Ing. Václav Hoštička</w:t>
      </w:r>
      <w:r w:rsidR="0064648C">
        <w:rPr>
          <w:szCs w:val="24"/>
        </w:rPr>
        <w:t>, který je ve své funkci od sa</w:t>
      </w:r>
      <w:r w:rsidR="000C6B74">
        <w:rPr>
          <w:szCs w:val="24"/>
        </w:rPr>
        <w:t>m</w:t>
      </w:r>
      <w:r w:rsidR="0064648C">
        <w:rPr>
          <w:szCs w:val="24"/>
        </w:rPr>
        <w:t>ého vzniku společnosti,</w:t>
      </w:r>
      <w:r w:rsidR="000D21DA">
        <w:rPr>
          <w:szCs w:val="24"/>
        </w:rPr>
        <w:t xml:space="preserve"> a Ing. Rudolf Vaniš</w:t>
      </w:r>
      <w:r w:rsidR="0064648C">
        <w:rPr>
          <w:szCs w:val="24"/>
        </w:rPr>
        <w:t xml:space="preserve">, </w:t>
      </w:r>
      <w:r w:rsidR="000C6B74">
        <w:rPr>
          <w:szCs w:val="24"/>
        </w:rPr>
        <w:t>který je ve své funkci od září</w:t>
      </w:r>
      <w:r w:rsidR="0064648C">
        <w:rPr>
          <w:szCs w:val="24"/>
        </w:rPr>
        <w:t xml:space="preserve"> roku 2005</w:t>
      </w:r>
      <w:r w:rsidR="000D21DA">
        <w:rPr>
          <w:szCs w:val="24"/>
        </w:rPr>
        <w:t>.</w:t>
      </w:r>
      <w:r w:rsidR="000C6B74" w:rsidRPr="000C6B74">
        <w:rPr>
          <w:rFonts w:ascii="Trebuchet MS" w:hAnsi="Trebuchet MS"/>
          <w:color w:val="060604"/>
          <w:sz w:val="23"/>
          <w:szCs w:val="23"/>
        </w:rPr>
        <w:t xml:space="preserve"> </w:t>
      </w:r>
      <w:r w:rsidR="000C6B74">
        <w:rPr>
          <w:color w:val="060604"/>
          <w:szCs w:val="23"/>
        </w:rPr>
        <w:t xml:space="preserve">Předmětem podnikání je </w:t>
      </w:r>
      <w:r w:rsidR="000C6B74" w:rsidRPr="000C6B74">
        <w:rPr>
          <w:rFonts w:eastAsia="Times New Roman"/>
          <w:color w:val="060604"/>
          <w:szCs w:val="23"/>
          <w:lang w:eastAsia="cs-CZ"/>
        </w:rPr>
        <w:t>koupě zboží za účelem jeho dalšího prodeje a prodej v režimu živnosti volné</w:t>
      </w:r>
      <w:r w:rsidR="000C6B74">
        <w:rPr>
          <w:rFonts w:eastAsia="Times New Roman"/>
          <w:color w:val="060604"/>
          <w:szCs w:val="23"/>
          <w:lang w:eastAsia="cs-CZ"/>
        </w:rPr>
        <w:t>, pronájem a půjčování movitých věcí</w:t>
      </w:r>
      <w:r w:rsidR="00210CA9">
        <w:rPr>
          <w:rFonts w:eastAsia="Times New Roman"/>
          <w:color w:val="060604"/>
          <w:szCs w:val="23"/>
          <w:lang w:eastAsia="cs-CZ"/>
        </w:rPr>
        <w:t xml:space="preserve"> a </w:t>
      </w:r>
      <w:r w:rsidR="000C6B74" w:rsidRPr="000C6B74">
        <w:rPr>
          <w:rFonts w:eastAsia="Times New Roman"/>
          <w:color w:val="060604"/>
          <w:szCs w:val="23"/>
          <w:lang w:eastAsia="cs-CZ"/>
        </w:rPr>
        <w:t>výroba, instalace a opravy elektronických zařízení</w:t>
      </w:r>
      <w:r w:rsidR="00210CA9">
        <w:rPr>
          <w:rFonts w:eastAsia="Times New Roman"/>
          <w:color w:val="060604"/>
          <w:szCs w:val="23"/>
          <w:lang w:eastAsia="cs-CZ"/>
        </w:rPr>
        <w:t xml:space="preserve">. </w:t>
      </w:r>
      <w:r w:rsidR="00871C98">
        <w:rPr>
          <w:rFonts w:eastAsia="Times New Roman"/>
          <w:color w:val="060604"/>
          <w:szCs w:val="23"/>
          <w:lang w:eastAsia="cs-CZ"/>
        </w:rPr>
        <w:t>Společnost si zakládá především na vstřícnosti a ochotě při vyřizování objednávek, velmi krátké době při vyřizování zakázky a na spolehlivosti s nadstandartní kvalitou.</w:t>
      </w:r>
    </w:p>
    <w:p w14:paraId="05CCD7F2" w14:textId="187AA6CA" w:rsidR="00CA24FA" w:rsidRDefault="00AE3A33" w:rsidP="009F63E7">
      <w:pPr>
        <w:shd w:val="clear" w:color="auto" w:fill="FFFFFF"/>
        <w:spacing w:after="0" w:line="360" w:lineRule="auto"/>
        <w:jc w:val="both"/>
        <w:rPr>
          <w:color w:val="000000"/>
          <w:szCs w:val="26"/>
          <w:shd w:val="clear" w:color="auto" w:fill="FFFFFF"/>
        </w:rPr>
      </w:pPr>
      <w:r w:rsidRPr="006760A9">
        <w:rPr>
          <w:szCs w:val="24"/>
        </w:rPr>
        <w:t xml:space="preserve">Penta CZ s.r.o. </w:t>
      </w:r>
      <w:r w:rsidRPr="006760A9">
        <w:rPr>
          <w:color w:val="000000"/>
          <w:szCs w:val="24"/>
          <w:shd w:val="clear" w:color="auto" w:fill="FFFFFF"/>
        </w:rPr>
        <w:t>provozuje </w:t>
      </w:r>
      <w:r w:rsidRPr="006760A9">
        <w:rPr>
          <w:rStyle w:val="Siln"/>
          <w:b w:val="0"/>
          <w:color w:val="000000"/>
          <w:szCs w:val="24"/>
          <w:shd w:val="clear" w:color="auto" w:fill="FFFFFF"/>
        </w:rPr>
        <w:t>e-shop s potřebami pro domácnost, dílnu, zahradu i kancelář.</w:t>
      </w:r>
      <w:r w:rsidR="00835D49">
        <w:rPr>
          <w:rStyle w:val="Siln"/>
          <w:b w:val="0"/>
          <w:color w:val="000000"/>
          <w:szCs w:val="24"/>
          <w:shd w:val="clear" w:color="auto" w:fill="FFFFFF"/>
        </w:rPr>
        <w:t xml:space="preserve"> Své produkty</w:t>
      </w:r>
      <w:r w:rsidR="008574BE" w:rsidRPr="006760A9">
        <w:rPr>
          <w:rStyle w:val="Siln"/>
          <w:b w:val="0"/>
          <w:color w:val="000000"/>
          <w:szCs w:val="24"/>
          <w:shd w:val="clear" w:color="auto" w:fill="FFFFFF"/>
        </w:rPr>
        <w:t xml:space="preserve"> dodává jak koncovým zákazníkům, tak i obchodním partnerům. </w:t>
      </w:r>
      <w:r w:rsidR="00FE2C2E">
        <w:rPr>
          <w:rStyle w:val="Siln"/>
          <w:b w:val="0"/>
          <w:color w:val="000000"/>
          <w:szCs w:val="24"/>
          <w:shd w:val="clear" w:color="auto" w:fill="FFFFFF"/>
        </w:rPr>
        <w:t>Společnost má také dvě své</w:t>
      </w:r>
      <w:r w:rsidR="00B520E0" w:rsidRPr="006760A9">
        <w:rPr>
          <w:rStyle w:val="Siln"/>
          <w:b w:val="0"/>
          <w:color w:val="000000"/>
          <w:szCs w:val="24"/>
          <w:shd w:val="clear" w:color="auto" w:fill="FFFFFF"/>
        </w:rPr>
        <w:t xml:space="preserve"> </w:t>
      </w:r>
      <w:r w:rsidR="00FE2C2E">
        <w:rPr>
          <w:rStyle w:val="Siln"/>
          <w:b w:val="0"/>
          <w:color w:val="000000"/>
          <w:szCs w:val="24"/>
          <w:shd w:val="clear" w:color="auto" w:fill="FFFFFF"/>
        </w:rPr>
        <w:t>vlastní značky, pod kterými prodává své vlastní produkty. Jsou jimi</w:t>
      </w:r>
      <w:r w:rsidR="00B520E0" w:rsidRPr="006760A9">
        <w:rPr>
          <w:rStyle w:val="Siln"/>
          <w:b w:val="0"/>
          <w:color w:val="000000"/>
          <w:szCs w:val="24"/>
          <w:shd w:val="clear" w:color="auto" w:fill="FFFFFF"/>
        </w:rPr>
        <w:t xml:space="preserve"> G21 </w:t>
      </w:r>
      <w:r w:rsidR="00FE2C2E">
        <w:rPr>
          <w:rStyle w:val="Siln"/>
          <w:b w:val="0"/>
          <w:color w:val="000000"/>
          <w:szCs w:val="24"/>
          <w:shd w:val="clear" w:color="auto" w:fill="FFFFFF"/>
        </w:rPr>
        <w:t xml:space="preserve">a G21 </w:t>
      </w:r>
      <w:r w:rsidR="00B520E0" w:rsidRPr="006760A9">
        <w:rPr>
          <w:rStyle w:val="Siln"/>
          <w:b w:val="0"/>
          <w:color w:val="000000"/>
          <w:szCs w:val="24"/>
          <w:shd w:val="clear" w:color="auto" w:fill="FFFFFF"/>
        </w:rPr>
        <w:t>Vitality</w:t>
      </w:r>
      <w:r w:rsidR="00FE2C2E">
        <w:rPr>
          <w:rStyle w:val="Siln"/>
          <w:b w:val="0"/>
          <w:color w:val="000000"/>
          <w:szCs w:val="24"/>
          <w:shd w:val="clear" w:color="auto" w:fill="FFFFFF"/>
        </w:rPr>
        <w:t xml:space="preserve">. </w:t>
      </w:r>
      <w:r w:rsidR="00B520E0" w:rsidRPr="006760A9">
        <w:rPr>
          <w:rStyle w:val="Siln"/>
          <w:b w:val="0"/>
          <w:color w:val="000000"/>
          <w:szCs w:val="24"/>
          <w:shd w:val="clear" w:color="auto" w:fill="FFFFFF"/>
        </w:rPr>
        <w:t xml:space="preserve">Pod </w:t>
      </w:r>
      <w:r w:rsidR="00FE2C2E">
        <w:rPr>
          <w:rStyle w:val="Siln"/>
          <w:b w:val="0"/>
          <w:color w:val="000000"/>
          <w:szCs w:val="24"/>
          <w:shd w:val="clear" w:color="auto" w:fill="FFFFFF"/>
        </w:rPr>
        <w:t xml:space="preserve">značkou G21 </w:t>
      </w:r>
      <w:r w:rsidR="00FE2C2E" w:rsidRPr="00FE2C2E">
        <w:rPr>
          <w:color w:val="000000"/>
          <w:szCs w:val="26"/>
          <w:shd w:val="clear" w:color="auto" w:fill="FFFFFF"/>
        </w:rPr>
        <w:t>prodává kvalitní potřeby pro zahradu a dílnu, dětské hračky, zahradní nábytek, domky a grily, autodoplňky, vybavení domácnosti, sanitární techniku pro nemocnice, restaurace a firmy. G21 Vitality je zaměřená na produkty, které se využívají v kuchyni, jako jsou mixéry, roboty, nádobí, nože a další doplňky pro radostné vaření i stravování.</w:t>
      </w:r>
      <w:r w:rsidR="00CA24FA">
        <w:rPr>
          <w:color w:val="000000"/>
          <w:szCs w:val="26"/>
          <w:shd w:val="clear" w:color="auto" w:fill="FFFFFF"/>
        </w:rPr>
        <w:t xml:space="preserve"> Penta CZ s.r.o. je součástí rodiny Penta family. Do Penta family patří e-shopy Penta.cz, Penta.sk, G21-Vitality.cz, Penta.hu, tamron.cz, starpokladny.cz a pokladnisystemy.cz</w:t>
      </w:r>
    </w:p>
    <w:p w14:paraId="2EB32D41" w14:textId="7FC57709" w:rsidR="008A5855" w:rsidRDefault="00402B7F" w:rsidP="009F63E7">
      <w:pPr>
        <w:shd w:val="clear" w:color="auto" w:fill="FFFFFF"/>
        <w:spacing w:after="0" w:line="360" w:lineRule="auto"/>
        <w:jc w:val="both"/>
        <w:rPr>
          <w:color w:val="000000"/>
          <w:szCs w:val="26"/>
          <w:shd w:val="clear" w:color="auto" w:fill="FFFFFF"/>
        </w:rPr>
      </w:pPr>
      <w:r>
        <w:rPr>
          <w:rFonts w:eastAsia="Times New Roman"/>
          <w:color w:val="060604"/>
          <w:szCs w:val="23"/>
          <w:lang w:eastAsia="cs-CZ"/>
        </w:rPr>
        <w:t>Společnost je také partnerem A-B Help.</w:t>
      </w:r>
      <w:r w:rsidR="00FA5D2C">
        <w:rPr>
          <w:rFonts w:eastAsia="Times New Roman"/>
          <w:color w:val="060604"/>
          <w:szCs w:val="23"/>
          <w:lang w:eastAsia="cs-CZ"/>
        </w:rPr>
        <w:t xml:space="preserve"> A-B Help zajišťuje minibusy a tranzity na přepravu potřebných osob</w:t>
      </w:r>
      <w:r w:rsidR="000E3B54">
        <w:rPr>
          <w:rFonts w:eastAsia="Times New Roman"/>
          <w:color w:val="060604"/>
          <w:szCs w:val="23"/>
          <w:lang w:eastAsia="cs-CZ"/>
        </w:rPr>
        <w:t xml:space="preserve"> ve spolupráci s komerčními firmami.</w:t>
      </w:r>
      <w:r w:rsidR="005622F6">
        <w:rPr>
          <w:rFonts w:eastAsia="Times New Roman"/>
          <w:color w:val="060604"/>
          <w:szCs w:val="23"/>
          <w:lang w:eastAsia="cs-CZ"/>
        </w:rPr>
        <w:t xml:space="preserve"> </w:t>
      </w:r>
      <w:r w:rsidR="000E3B54">
        <w:rPr>
          <w:rFonts w:eastAsia="Times New Roman"/>
          <w:color w:val="060604"/>
          <w:szCs w:val="23"/>
          <w:lang w:eastAsia="cs-CZ"/>
        </w:rPr>
        <w:t xml:space="preserve">Princip spočívá v tom, že </w:t>
      </w:r>
      <w:r w:rsidR="000E3B54" w:rsidRPr="000E3B54">
        <w:rPr>
          <w:color w:val="000000"/>
          <w:szCs w:val="26"/>
          <w:shd w:val="clear" w:color="auto" w:fill="FFFFFF"/>
        </w:rPr>
        <w:t>oslovená firma zaplatí reklamu a propagaci svých služeb či produktů na vozidle, které je nabídnuto k užívání potřebným. Ať už se jedná o dětský domov, domov pro seniory nebo domov se zvláštní péčí pro postižené.</w:t>
      </w:r>
    </w:p>
    <w:p w14:paraId="6C38EE79" w14:textId="6C13D7CE" w:rsidR="00E25574" w:rsidRPr="00FA5D2C" w:rsidRDefault="00E25574" w:rsidP="009F63E7">
      <w:pPr>
        <w:shd w:val="clear" w:color="auto" w:fill="FFFFFF"/>
        <w:spacing w:after="0" w:line="360" w:lineRule="auto"/>
        <w:jc w:val="both"/>
        <w:rPr>
          <w:rFonts w:eastAsia="Times New Roman"/>
          <w:color w:val="060604"/>
          <w:szCs w:val="23"/>
          <w:lang w:eastAsia="cs-CZ"/>
        </w:rPr>
      </w:pPr>
      <w:r>
        <w:rPr>
          <w:color w:val="000000"/>
          <w:szCs w:val="26"/>
          <w:shd w:val="clear" w:color="auto" w:fill="FFFFFF"/>
        </w:rPr>
        <w:t>Penta se také přidala k akci „J</w:t>
      </w:r>
      <w:r w:rsidR="000D0804">
        <w:rPr>
          <w:color w:val="000000"/>
          <w:szCs w:val="26"/>
          <w:shd w:val="clear" w:color="auto" w:fill="FFFFFF"/>
        </w:rPr>
        <w:t>ežíškova</w:t>
      </w:r>
      <w:r>
        <w:rPr>
          <w:color w:val="000000"/>
          <w:szCs w:val="26"/>
          <w:shd w:val="clear" w:color="auto" w:fill="FFFFFF"/>
        </w:rPr>
        <w:t xml:space="preserve"> vnoučata“ od Českého rozhlasu.</w:t>
      </w:r>
      <w:r>
        <w:rPr>
          <w:rStyle w:val="Siln"/>
          <w:rFonts w:ascii="Arial" w:hAnsi="Arial" w:cs="Arial"/>
          <w:color w:val="555561"/>
          <w:sz w:val="23"/>
          <w:szCs w:val="23"/>
          <w:shd w:val="clear" w:color="auto" w:fill="FFFFFF"/>
        </w:rPr>
        <w:t xml:space="preserve"> </w:t>
      </w:r>
      <w:r w:rsidRPr="00E25574">
        <w:rPr>
          <w:rStyle w:val="Siln"/>
          <w:b w:val="0"/>
          <w:szCs w:val="23"/>
          <w:shd w:val="clear" w:color="auto" w:fill="FFFFFF"/>
        </w:rPr>
        <w:t>V tomto projektu mají lidé možnost vybírat si z tisíců přání seniorů, která následně plní. Souběžně se seznamem přání je otevřená také finanční sbírka, díky které je možné hradit nákladná přání ze seznamu, na které jednotlivci nestačí.</w:t>
      </w: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34729032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33EB855" w14:textId="5912C140" w:rsidR="00ED39C7" w:rsidRDefault="00760582" w:rsidP="00760582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Na začátku mého působení ve firmě, cca 1. týden, jsem </w:t>
      </w:r>
      <w:r w:rsidR="00395FE4">
        <w:rPr>
          <w:rFonts w:eastAsia="Times New Roman"/>
        </w:rPr>
        <w:t>se seznamovala</w:t>
      </w:r>
      <w:r>
        <w:rPr>
          <w:rFonts w:eastAsia="Times New Roman"/>
        </w:rPr>
        <w:t xml:space="preserve"> s novým prostředím,</w:t>
      </w:r>
      <w:r w:rsidR="00911F98">
        <w:rPr>
          <w:rFonts w:eastAsia="Times New Roman"/>
        </w:rPr>
        <w:t xml:space="preserve"> zařazovala dokumenty do šanonů</w:t>
      </w:r>
      <w:r>
        <w:rPr>
          <w:rFonts w:eastAsia="Times New Roman"/>
        </w:rPr>
        <w:t>, učila se používat pracovní pomů</w:t>
      </w:r>
      <w:r w:rsidR="00395FE4">
        <w:rPr>
          <w:rFonts w:eastAsia="Times New Roman"/>
        </w:rPr>
        <w:t xml:space="preserve">cky, kopírovala dokumenty, pracovala v archivu </w:t>
      </w:r>
      <w:r>
        <w:rPr>
          <w:rFonts w:eastAsia="Times New Roman"/>
        </w:rPr>
        <w:t xml:space="preserve">apod. Postupem času jsem však začala vykonávat aktivity, které vedly ke splnění výstupů. </w:t>
      </w:r>
    </w:p>
    <w:p w14:paraId="4F2866F4" w14:textId="362D374B" w:rsidR="003607AA" w:rsidRDefault="003607AA" w:rsidP="003607AA">
      <w:pPr>
        <w:pStyle w:val="Nadpis2"/>
        <w:numPr>
          <w:ilvl w:val="0"/>
          <w:numId w:val="0"/>
        </w:numPr>
      </w:pPr>
      <w:bookmarkStart w:id="12" w:name="_Toc134729033"/>
      <w:r>
        <w:t xml:space="preserve">2.1 </w:t>
      </w:r>
      <w:r w:rsidR="00D963BE">
        <w:t>Získávání, přijímání a výběr zaměstnanců a adaptace zaměstnanců</w:t>
      </w:r>
      <w:bookmarkEnd w:id="12"/>
    </w:p>
    <w:p w14:paraId="2BE72FF8" w14:textId="3BB60D13" w:rsidR="00760582" w:rsidRDefault="00027D68" w:rsidP="00760582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1. Výstup se zabýval </w:t>
      </w:r>
      <w:r w:rsidR="006D3440">
        <w:rPr>
          <w:rFonts w:eastAsia="Times New Roman"/>
        </w:rPr>
        <w:t>oblastí získávání, přijímání, výběru a adaptace zaměstnanců. K tomuto výstupu bych ráda řekla, že jsem psala</w:t>
      </w:r>
      <w:r w:rsidR="00760582">
        <w:rPr>
          <w:rFonts w:eastAsia="Times New Roman"/>
        </w:rPr>
        <w:t xml:space="preserve"> inzeráty na volná pracovní místa, následně vybírala vhodné kandidáty podle svého uvážení a následovala diskuze s vedoucím pracovníkem, proč bych zrovna tohoto kandidáta přijmula na dané pracovní místo. Po přijetí zaměstnance jsem mu přidělila pracovní pomůcky, provedla ho po firmě, seznámila s kolegy a celkově jsem se snažila, aby se co nejvíce adaptoval. </w:t>
      </w:r>
      <w:r w:rsidR="00226E3F">
        <w:rPr>
          <w:rFonts w:eastAsia="Times New Roman"/>
        </w:rPr>
        <w:t>Také jsem se účastnila pracovních pohovorů, kde jsem sledovala, jak také přijímání zaměstnance probíhá. Průběh přijímacího pohovoru jsem poté konzultovala s vedoucím pracovníkem.</w:t>
      </w:r>
      <w:r w:rsidR="006D3440">
        <w:rPr>
          <w:rFonts w:eastAsia="Times New Roman"/>
        </w:rPr>
        <w:t xml:space="preserve"> Inzeráty byly umístěné na webové stránky společnosti a na další we</w:t>
      </w:r>
      <w:r w:rsidR="0049324A">
        <w:rPr>
          <w:rFonts w:eastAsia="Times New Roman"/>
        </w:rPr>
        <w:t>bové stránky, jako jsou jobs.cz, práce.cz, profesia.cz a další. Inzeráty byly také zveřejněny na sociálních sítích společnosti Penta CZ.</w:t>
      </w:r>
    </w:p>
    <w:p w14:paraId="0274FB0A" w14:textId="30CECD3F" w:rsidR="003607AA" w:rsidRDefault="003607AA" w:rsidP="003607AA">
      <w:pPr>
        <w:pStyle w:val="Nadpis2"/>
        <w:numPr>
          <w:ilvl w:val="0"/>
          <w:numId w:val="0"/>
        </w:numPr>
      </w:pPr>
      <w:bookmarkStart w:id="13" w:name="_Toc134729034"/>
      <w:r>
        <w:t xml:space="preserve">2.2. </w:t>
      </w:r>
      <w:r w:rsidR="00D963BE">
        <w:t>Řízení a hodnocení pracovního výkonu zaměstnanců, rozvoj zaměstnanců, motivace a odměňování zaměstnanců</w:t>
      </w:r>
      <w:bookmarkEnd w:id="13"/>
    </w:p>
    <w:p w14:paraId="5F280A91" w14:textId="56FFB35C" w:rsidR="00760582" w:rsidRDefault="00760582" w:rsidP="00760582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Také jsem se zúčastnila školení, které bylo zaměřeno na motivaci a odměňování zaměstnanců, kde jsem získala cenné informace ohledně tohoto tématu. Na základě tohoto školení jsem poté vytvořila dotazník zaměřený na motivační nástroje. V dotazníku zaměstnanci zaškrtá</w:t>
      </w:r>
      <w:r w:rsidR="004B0AE5">
        <w:rPr>
          <w:rFonts w:eastAsia="Times New Roman"/>
        </w:rPr>
        <w:t>vali, které motivační nástroje b</w:t>
      </w:r>
      <w:r>
        <w:rPr>
          <w:rFonts w:eastAsia="Times New Roman"/>
        </w:rPr>
        <w:t>y ve společnosti Penta CZ nejvíce ocenili. Dotazník byl poté předán vedoucímu pracovníkovi, který s ním může naložit podle svého uvážení. S vedoucím pracovníkem jsem také řešila hodnocení výkonu zaměstnanců. Pokud zaměstnanci dostali nějaký náročnější úkol, nebo pokud dokončili projekt, vedla jsem s vedoucím pracovníkem diskuzi, jak bych je za odvedenou práci ohodno</w:t>
      </w:r>
      <w:r w:rsidR="00ED39C7">
        <w:rPr>
          <w:rFonts w:eastAsia="Times New Roman"/>
        </w:rPr>
        <w:t>tila. Do hodnocení spadal přístu</w:t>
      </w:r>
      <w:r>
        <w:rPr>
          <w:rFonts w:eastAsia="Times New Roman"/>
        </w:rPr>
        <w:t>p k práci, jak dlouho práci vykonávali, jaké úsilí do toho vložili</w:t>
      </w:r>
      <w:r w:rsidR="00ED39C7">
        <w:rPr>
          <w:rFonts w:eastAsia="Times New Roman"/>
        </w:rPr>
        <w:t xml:space="preserve"> apod. </w:t>
      </w:r>
    </w:p>
    <w:p w14:paraId="17AAF39B" w14:textId="494DA6AA" w:rsidR="003607AA" w:rsidRDefault="003607AA" w:rsidP="003607AA">
      <w:pPr>
        <w:pStyle w:val="Nadpis2"/>
        <w:numPr>
          <w:ilvl w:val="0"/>
          <w:numId w:val="0"/>
        </w:numPr>
      </w:pPr>
      <w:bookmarkStart w:id="14" w:name="_Toc134729035"/>
      <w:r>
        <w:lastRenderedPageBreak/>
        <w:t xml:space="preserve">2.3. </w:t>
      </w:r>
      <w:r w:rsidR="00D963BE">
        <w:t>Podniková kultura včetně etického řízení, zásady komunikace, tvorba týmu</w:t>
      </w:r>
      <w:bookmarkEnd w:id="14"/>
    </w:p>
    <w:p w14:paraId="6973E8DB" w14:textId="641F3A6F" w:rsidR="00101060" w:rsidRDefault="00ED39C7" w:rsidP="00760582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760582">
        <w:rPr>
          <w:rFonts w:eastAsia="Times New Roman"/>
        </w:rPr>
        <w:t>načné množství času</w:t>
      </w:r>
      <w:r>
        <w:rPr>
          <w:rFonts w:eastAsia="Times New Roman"/>
        </w:rPr>
        <w:t xml:space="preserve"> jsem</w:t>
      </w:r>
      <w:r w:rsidR="00760582">
        <w:rPr>
          <w:rFonts w:eastAsia="Times New Roman"/>
        </w:rPr>
        <w:t xml:space="preserve"> strávila </w:t>
      </w:r>
      <w:r>
        <w:rPr>
          <w:rFonts w:eastAsia="Times New Roman"/>
        </w:rPr>
        <w:t xml:space="preserve">také </w:t>
      </w:r>
      <w:r w:rsidR="00760582">
        <w:rPr>
          <w:rFonts w:eastAsia="Times New Roman"/>
        </w:rPr>
        <w:t>na reklamačním oddělení, kde jsem vyřizovala reklamace se zákazníky a obchodními partnery. Zde jsem získala cenné komunikační zkušenosti, jelikož dříve jsem měla problém komunikovat s cizími lidmi. Komunikace probíhala osobně, telefonicky i přes elektronickou poštu.</w:t>
      </w:r>
      <w:r w:rsidR="00160F58">
        <w:rPr>
          <w:rFonts w:eastAsia="Times New Roman"/>
        </w:rPr>
        <w:t xml:space="preserve"> Také jsem se zde naučila pracovat v programu i6, což je ekonomický program využívaný v celém podniku.</w:t>
      </w:r>
      <w:r w:rsidR="00760582">
        <w:rPr>
          <w:rFonts w:eastAsia="Times New Roman"/>
        </w:rPr>
        <w:t xml:space="preserve"> K tomuto výstupu také patří účast na GDPR školení, které souvisí s etickým řízení</w:t>
      </w:r>
      <w:r>
        <w:rPr>
          <w:rFonts w:eastAsia="Times New Roman"/>
        </w:rPr>
        <w:t>m</w:t>
      </w:r>
      <w:r w:rsidR="00760582">
        <w:rPr>
          <w:rFonts w:eastAsia="Times New Roman"/>
        </w:rPr>
        <w:t xml:space="preserve"> společnosti. </w:t>
      </w:r>
      <w:r w:rsidR="00160F58">
        <w:rPr>
          <w:rFonts w:eastAsia="Times New Roman"/>
        </w:rPr>
        <w:t>Často jsem se také účastnila pracovních porad, které probíhaly v zasedací místnosti, nebo online na platformě Skype. Na těchto poradách se často</w:t>
      </w:r>
      <w:r w:rsidR="00FE789E">
        <w:rPr>
          <w:rFonts w:eastAsia="Times New Roman"/>
        </w:rPr>
        <w:t xml:space="preserve"> řešilo, co jsme za uplynulý týden zvládli, co nás čeká v následujícím týdnu, správa sociálních sítí, </w:t>
      </w:r>
      <w:r w:rsidR="00160F58">
        <w:rPr>
          <w:rFonts w:eastAsia="Times New Roman"/>
        </w:rPr>
        <w:t>atd.</w:t>
      </w:r>
      <w:r w:rsidR="00FE789E">
        <w:rPr>
          <w:rFonts w:eastAsia="Times New Roman"/>
        </w:rPr>
        <w:t xml:space="preserve"> Tyto porady probíhaly každý týden.</w:t>
      </w:r>
      <w:r w:rsidR="00160F58">
        <w:rPr>
          <w:rFonts w:eastAsia="Times New Roman"/>
        </w:rPr>
        <w:t xml:space="preserve"> Také js</w:t>
      </w:r>
      <w:r w:rsidR="00FE789E">
        <w:rPr>
          <w:rFonts w:eastAsia="Times New Roman"/>
        </w:rPr>
        <w:t>em psala články na různá témata pro svou školitelku, která je následně vložila na internet</w:t>
      </w:r>
      <w:r w:rsidR="001421D2">
        <w:rPr>
          <w:rFonts w:eastAsia="Times New Roman"/>
        </w:rPr>
        <w:t>.</w:t>
      </w:r>
      <w:r w:rsidR="00264111">
        <w:rPr>
          <w:rFonts w:eastAsia="Times New Roman"/>
        </w:rPr>
        <w:t xml:space="preserve"> Při projektech,</w:t>
      </w:r>
      <w:r w:rsidR="001E3B92">
        <w:rPr>
          <w:rFonts w:eastAsia="Times New Roman"/>
        </w:rPr>
        <w:t xml:space="preserve"> kde byla</w:t>
      </w:r>
      <w:r w:rsidR="00264111">
        <w:rPr>
          <w:rFonts w:eastAsia="Times New Roman"/>
        </w:rPr>
        <w:t xml:space="preserve"> potřeba více pracovníků jsem vedoucímu pracovníkovi navrhovala, kteří zaměstnanci by se na projektu měli podílet.</w:t>
      </w:r>
      <w:r w:rsidR="00FE789E">
        <w:rPr>
          <w:rFonts w:eastAsia="Times New Roman"/>
        </w:rPr>
        <w:t xml:space="preserve"> </w:t>
      </w:r>
    </w:p>
    <w:p w14:paraId="656484E9" w14:textId="0D50BCB9" w:rsidR="003607AA" w:rsidRDefault="003607AA" w:rsidP="003607AA">
      <w:pPr>
        <w:pStyle w:val="Nadpis2"/>
        <w:numPr>
          <w:ilvl w:val="0"/>
          <w:numId w:val="0"/>
        </w:numPr>
        <w:ind w:left="576" w:hanging="576"/>
      </w:pPr>
      <w:bookmarkStart w:id="15" w:name="_Toc134729036"/>
      <w:r>
        <w:t xml:space="preserve">2.4. </w:t>
      </w:r>
      <w:r w:rsidR="00D963BE">
        <w:t>Tvorba a vedení personální agendy včetně příslušné legislativy</w:t>
      </w:r>
      <w:bookmarkEnd w:id="15"/>
    </w:p>
    <w:p w14:paraId="592BC191" w14:textId="2BDF5633" w:rsidR="00760582" w:rsidRDefault="00ED39C7" w:rsidP="00760582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S</w:t>
      </w:r>
      <w:r w:rsidR="00760582">
        <w:rPr>
          <w:rFonts w:eastAsia="Times New Roman"/>
        </w:rPr>
        <w:t>e zaměstnanci</w:t>
      </w:r>
      <w:r>
        <w:rPr>
          <w:rFonts w:eastAsia="Times New Roman"/>
        </w:rPr>
        <w:t xml:space="preserve"> jsem</w:t>
      </w:r>
      <w:r w:rsidR="00760582">
        <w:rPr>
          <w:rFonts w:eastAsia="Times New Roman"/>
        </w:rPr>
        <w:t xml:space="preserve"> vyplňovala dokumenty týkající se personální agendy. Těmito dokumenty se rozumí pracovní smlouvy</w:t>
      </w:r>
      <w:r w:rsidR="001E3B92">
        <w:rPr>
          <w:rFonts w:eastAsia="Times New Roman"/>
        </w:rPr>
        <w:t xml:space="preserve"> (DPČ i DPP)</w:t>
      </w:r>
      <w:r w:rsidR="006664A7">
        <w:rPr>
          <w:rFonts w:eastAsia="Times New Roman"/>
        </w:rPr>
        <w:t>, přihlášení ke zdravotnímu a sociálnímu pojištění</w:t>
      </w:r>
      <w:r w:rsidR="009127CE">
        <w:rPr>
          <w:rFonts w:eastAsia="Times New Roman"/>
        </w:rPr>
        <w:t>, osobní spisy zaměstnanců</w:t>
      </w:r>
      <w:r w:rsidR="00760582">
        <w:rPr>
          <w:rFonts w:eastAsia="Times New Roman"/>
        </w:rPr>
        <w:t xml:space="preserve"> a </w:t>
      </w:r>
      <w:r w:rsidR="006664A7">
        <w:rPr>
          <w:rFonts w:eastAsia="Times New Roman"/>
        </w:rPr>
        <w:t xml:space="preserve">další </w:t>
      </w:r>
      <w:r w:rsidR="00760582">
        <w:rPr>
          <w:rFonts w:eastAsia="Times New Roman"/>
        </w:rPr>
        <w:t>dokumenty s nimi spojené. Také jse</w:t>
      </w:r>
      <w:r w:rsidR="00A16627">
        <w:rPr>
          <w:rFonts w:eastAsia="Times New Roman"/>
        </w:rPr>
        <w:t>m vyplňovala evidenci</w:t>
      </w:r>
      <w:r w:rsidR="00760582">
        <w:rPr>
          <w:rFonts w:eastAsia="Times New Roman"/>
        </w:rPr>
        <w:t xml:space="preserve"> týkající se pracovního úrazu</w:t>
      </w:r>
      <w:r w:rsidR="00101060">
        <w:rPr>
          <w:rFonts w:eastAsia="Times New Roman"/>
        </w:rPr>
        <w:t xml:space="preserve"> a sepisovala jsem, jak se pracovní úraz stal</w:t>
      </w:r>
      <w:r w:rsidR="00760582">
        <w:rPr>
          <w:rFonts w:eastAsia="Times New Roman"/>
        </w:rPr>
        <w:t>.</w:t>
      </w:r>
      <w:r w:rsidR="000E2D92">
        <w:rPr>
          <w:rFonts w:eastAsia="Times New Roman"/>
        </w:rPr>
        <w:t xml:space="preserve"> V této evidenci jsem podrobně popsala, jak se úraz stal, vyplnila jsem osobní údaje o postiženém pracovníkovi, uvedla datum a hodinu, kdy se úraz stal, jména svědků, místo výkonu úrazu, činnost, při které úraz vznikl, příčinu úrazu, počet zraněných osob a další nutné informace.</w:t>
      </w:r>
      <w:r w:rsidR="00760582">
        <w:rPr>
          <w:rFonts w:eastAsia="Times New Roman"/>
        </w:rPr>
        <w:t xml:space="preserve"> </w:t>
      </w:r>
      <w:r w:rsidR="00A16627">
        <w:rPr>
          <w:rFonts w:eastAsia="Times New Roman"/>
        </w:rPr>
        <w:t>Dále jsem řadila faktury do šanonů podle čísla faktur, skenovala dokumenty, kopírovala, nebo je párovala k sobě. Také jsem pracovala v archivu, ze kterého jsem vyřazovala dokumenty vhodné pro skartaci.</w:t>
      </w:r>
    </w:p>
    <w:p w14:paraId="2CDBC790" w14:textId="77777777" w:rsidR="00C40F9C" w:rsidRDefault="00C40F9C" w:rsidP="00760582">
      <w:pPr>
        <w:spacing w:after="0" w:line="360" w:lineRule="auto"/>
        <w:jc w:val="both"/>
        <w:rPr>
          <w:rFonts w:eastAsia="Times New Roman"/>
        </w:rPr>
      </w:pPr>
    </w:p>
    <w:p w14:paraId="7CBA51AB" w14:textId="290350FC" w:rsidR="003607AA" w:rsidRDefault="003607AA" w:rsidP="003607AA">
      <w:pPr>
        <w:pStyle w:val="Nadpis2"/>
        <w:numPr>
          <w:ilvl w:val="0"/>
          <w:numId w:val="0"/>
        </w:numPr>
        <w:ind w:left="576" w:hanging="576"/>
      </w:pPr>
      <w:bookmarkStart w:id="16" w:name="_Toc134729037"/>
      <w:r>
        <w:lastRenderedPageBreak/>
        <w:t xml:space="preserve">2.5. </w:t>
      </w:r>
      <w:r w:rsidR="00D963BE">
        <w:t>Komunikace s příslušnými orgány státní a veřejné správy v oblasti HR</w:t>
      </w:r>
      <w:bookmarkEnd w:id="16"/>
    </w:p>
    <w:p w14:paraId="3076D73F" w14:textId="14A71DC0" w:rsidR="009127CE" w:rsidRDefault="0014239C" w:rsidP="00760582">
      <w:pPr>
        <w:spacing w:after="0" w:line="360" w:lineRule="auto"/>
        <w:jc w:val="both"/>
        <w:rPr>
          <w:rFonts w:eastAsia="Times New Roman"/>
        </w:rPr>
      </w:pPr>
      <w:r w:rsidRPr="0014239C">
        <w:rPr>
          <w:rFonts w:eastAsia="Times New Roman"/>
        </w:rPr>
        <w:t>Komunikovala jsem s úřadem práce o nástupu nebo skončení zaměstnanců z Ukrajiny.</w:t>
      </w:r>
      <w:r>
        <w:rPr>
          <w:rFonts w:eastAsia="Times New Roman"/>
          <w:b/>
        </w:rPr>
        <w:t xml:space="preserve"> </w:t>
      </w:r>
      <w:r w:rsidRPr="0014239C">
        <w:rPr>
          <w:rFonts w:eastAsia="Times New Roman"/>
        </w:rPr>
        <w:t>Jelikož ukrajinští zaměstnanci potřebují zaměstnaneckou kartu, vyplnila jsem s nimi žádost o zaměstnaneckou kartu</w:t>
      </w:r>
      <w:r w:rsidR="00EC0165">
        <w:rPr>
          <w:rFonts w:eastAsia="Times New Roman"/>
        </w:rPr>
        <w:t xml:space="preserve">. </w:t>
      </w:r>
      <w:r w:rsidR="008C11ED">
        <w:rPr>
          <w:rFonts w:eastAsia="Times New Roman"/>
        </w:rPr>
        <w:t>Také jsem vyplňovala formulář o pro</w:t>
      </w:r>
      <w:r w:rsidR="00EC0165">
        <w:rPr>
          <w:rFonts w:eastAsia="Times New Roman"/>
        </w:rPr>
        <w:t>d</w:t>
      </w:r>
      <w:r w:rsidR="008C11ED">
        <w:rPr>
          <w:rFonts w:eastAsia="Times New Roman"/>
        </w:rPr>
        <w:t xml:space="preserve">loužení zaměstnanecké karty pro Ministerstvo vnitra ČR. </w:t>
      </w:r>
      <w:r w:rsidR="00EC0165">
        <w:rPr>
          <w:rFonts w:eastAsia="Times New Roman"/>
        </w:rPr>
        <w:t>Č</w:t>
      </w:r>
      <w:r>
        <w:rPr>
          <w:rFonts w:eastAsia="Times New Roman"/>
        </w:rPr>
        <w:t>asto</w:t>
      </w:r>
      <w:r w:rsidR="00EC0165">
        <w:rPr>
          <w:rFonts w:eastAsia="Times New Roman"/>
        </w:rPr>
        <w:t xml:space="preserve"> jsem také</w:t>
      </w:r>
      <w:r>
        <w:rPr>
          <w:rFonts w:eastAsia="Times New Roman"/>
        </w:rPr>
        <w:t xml:space="preserve"> </w:t>
      </w:r>
      <w:r w:rsidR="00C571E8">
        <w:rPr>
          <w:rFonts w:eastAsia="Times New Roman"/>
        </w:rPr>
        <w:t xml:space="preserve">komunikovala se zákazníky ohledně reklamací zboží, dále pokud chtěli něco vědět ohledně jednotlivých produktů nebo pokud měli nějaké další dotazy. Pokud šlo o reklamaci zboží, musela jsem také komunikovat se servisními techniky ohledně závad </w:t>
      </w:r>
      <w:r w:rsidR="00C40F9E">
        <w:rPr>
          <w:rFonts w:eastAsia="Times New Roman"/>
        </w:rPr>
        <w:t xml:space="preserve">zboží. </w:t>
      </w:r>
      <w:r w:rsidR="00722C8E">
        <w:rPr>
          <w:rFonts w:eastAsia="Times New Roman"/>
        </w:rPr>
        <w:t>Dále</w:t>
      </w:r>
      <w:bookmarkStart w:id="17" w:name="_GoBack"/>
      <w:bookmarkEnd w:id="17"/>
      <w:r w:rsidR="00C40F9E">
        <w:rPr>
          <w:rFonts w:eastAsia="Times New Roman"/>
        </w:rPr>
        <w:t xml:space="preserve"> jsem komunikovala</w:t>
      </w:r>
      <w:r w:rsidR="00ED39C7">
        <w:rPr>
          <w:rFonts w:eastAsia="Times New Roman"/>
        </w:rPr>
        <w:t xml:space="preserve"> obchodními partnery</w:t>
      </w:r>
      <w:r w:rsidR="00C571E8">
        <w:rPr>
          <w:rFonts w:eastAsia="Times New Roman"/>
        </w:rPr>
        <w:t xml:space="preserve"> společnosti Penta</w:t>
      </w:r>
      <w:r w:rsidR="00ED39C7">
        <w:rPr>
          <w:rFonts w:eastAsia="Times New Roman"/>
        </w:rPr>
        <w:t>.</w:t>
      </w:r>
    </w:p>
    <w:p w14:paraId="5223364E" w14:textId="77777777" w:rsidR="00760582" w:rsidRDefault="00760582" w:rsidP="005675FC">
      <w:pPr>
        <w:spacing w:after="0" w:line="360" w:lineRule="auto"/>
        <w:jc w:val="both"/>
      </w:pPr>
    </w:p>
    <w:p w14:paraId="1EA3154F" w14:textId="769215EE" w:rsidR="00055B19" w:rsidRPr="006D3440" w:rsidRDefault="00055B19" w:rsidP="006D3440">
      <w:pPr>
        <w:spacing w:after="0" w:line="360" w:lineRule="auto"/>
        <w:jc w:val="both"/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8" w:name="_Toc134729038"/>
      <w:r>
        <w:lastRenderedPageBreak/>
        <w:t>Zhodnocení praxe studentem</w:t>
      </w:r>
      <w:bookmarkEnd w:id="18"/>
      <w:r>
        <w:t xml:space="preserve"> </w:t>
      </w:r>
    </w:p>
    <w:p w14:paraId="4BA12351" w14:textId="4072B525" w:rsidR="006B1578" w:rsidRDefault="006B1578" w:rsidP="00466F0D">
      <w:pPr>
        <w:spacing w:after="0" w:line="360" w:lineRule="auto"/>
        <w:jc w:val="both"/>
      </w:pPr>
      <w:r>
        <w:t>Absolvování odborné praxe ve společnosti Penta CZ s.r.o. pro mě bylo velkým přínosem v mnoha ohledech. Propojila jsem teoretické znalosti s praxí, prohloubila dosavadní odborné znalosti, zlepšila své komunikační dovednosti a cel</w:t>
      </w:r>
      <w:r w:rsidR="004C520B">
        <w:t>kové vystupování před publikem</w:t>
      </w:r>
      <w:r w:rsidR="00550304">
        <w:t>,</w:t>
      </w:r>
      <w:r w:rsidR="004C520B">
        <w:t xml:space="preserve"> ověřila jsem si, že jsem si vybrala obor, ve kterém skutečně chci pracovat a dále se v něm vzdělávat</w:t>
      </w:r>
      <w:r>
        <w:t xml:space="preserve"> a v neposlední řadě</w:t>
      </w:r>
      <w:r w:rsidR="004C520B">
        <w:t xml:space="preserve"> jsem</w:t>
      </w:r>
      <w:r>
        <w:t xml:space="preserve"> </w:t>
      </w:r>
      <w:r w:rsidR="004C520B">
        <w:t>navázala kontakty, které mi budou velmi užitečné při hledání budoucího zaměstnání. Vedení společnosti mi nabídlo brigádnickou spolupráci na letní měsíce a dále možnost plného úvazku po ukončení studia. Dále</w:t>
      </w:r>
      <w:r w:rsidR="00550304">
        <w:t xml:space="preserve"> mi</w:t>
      </w:r>
      <w:r w:rsidR="004C520B">
        <w:t xml:space="preserve"> společnost</w:t>
      </w:r>
      <w:r w:rsidR="00550304">
        <w:t xml:space="preserve"> umožnila získat potřebné znalosti v oblasti marketingu, personalistiky, financí a celkově ekonomiky. Jako velké pozitivum vidím to, že jsem si zlepšila sví komunikační dovednosti. Dříve jsem měla velký problém komunikovat s cizími lidmi a celkově s vystupováním. Díky absolvování praxe se mé komunikační dovednosti značně zlepšily.</w:t>
      </w:r>
    </w:p>
    <w:p w14:paraId="044D5ACD" w14:textId="074465C4" w:rsidR="009F38CB" w:rsidRDefault="009F38CB" w:rsidP="00466F0D">
      <w:pPr>
        <w:spacing w:after="0" w:line="360" w:lineRule="auto"/>
        <w:jc w:val="both"/>
      </w:pPr>
      <w:r>
        <w:t xml:space="preserve">S průběhem praxe jsem byla velmi spokojená, stejně tak jako společnost semnou. Jediná výtka, kterou bych ráda zmínila je, že jsem neměla dostatečné znalosti v oblasti IT, přesněji řečeno s ekonomickými programy, které se běžně ve firmách používají. Na začátku mého působení ve firmě jsem v tomto ohledu značně tápala, nicméně postupem času jsem své dovednosti zdokonalila a dnes již v tomto ohledu nemám problém. </w:t>
      </w:r>
      <w:r w:rsidR="00C753B0">
        <w:t xml:space="preserve">Proto bych doporučila, aby se ve škole na toto bral větší ohled. </w:t>
      </w:r>
    </w:p>
    <w:p w14:paraId="569214A0" w14:textId="29DF486D" w:rsidR="008E270D" w:rsidRPr="0050789F" w:rsidRDefault="008E270D" w:rsidP="00466F0D">
      <w:pPr>
        <w:spacing w:after="0" w:line="360" w:lineRule="auto"/>
        <w:jc w:val="both"/>
      </w:pPr>
      <w:r>
        <w:t>Praxe pro mě tedy byly velkým přínosem a jsem vděčná, že jsem je mohla absolvovat právě ve společnosti Penta CZ s.r.o.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9" w:name="_Toc134729039"/>
      <w:r>
        <w:lastRenderedPageBreak/>
        <w:t>Závěr</w:t>
      </w:r>
      <w:bookmarkEnd w:id="19"/>
    </w:p>
    <w:p w14:paraId="56C656E2" w14:textId="35469904" w:rsidR="00ED6AE3" w:rsidRDefault="00D351F3" w:rsidP="00466F0D">
      <w:pPr>
        <w:spacing w:after="0" w:line="360" w:lineRule="auto"/>
        <w:jc w:val="both"/>
      </w:pPr>
      <w:r>
        <w:t>Výstupy pro splnění praxe jsem dle mého názoru splnila všechny.</w:t>
      </w:r>
      <w:r w:rsidR="00F93431">
        <w:t xml:space="preserve"> S obhajobou a následným uznáním odborné praxe bych tedy neměla mít žádný problém.</w:t>
      </w:r>
      <w:r w:rsidR="00ED6AE3">
        <w:t xml:space="preserve"> Většinu mé praxe jsem se věnovala administrativě, komunikaci se zákazníky</w:t>
      </w:r>
      <w:r w:rsidR="009738F8">
        <w:t xml:space="preserve">, obchodními partnery, servisními techniky a dodavateli. Komunikace probíhala osobně, přes telefon nebo elektronickou poštou. Také jsem se </w:t>
      </w:r>
      <w:r w:rsidR="00BC7E23">
        <w:t xml:space="preserve">věnovala sociálním sítím, personální agendě zaměstnanců, </w:t>
      </w:r>
      <w:r w:rsidR="009738F8">
        <w:t>dozvěděla</w:t>
      </w:r>
      <w:r w:rsidR="00ED6AE3">
        <w:t xml:space="preserve"> </w:t>
      </w:r>
      <w:r w:rsidR="00BC7E23">
        <w:t xml:space="preserve">jsem se </w:t>
      </w:r>
      <w:r w:rsidR="00ED6AE3">
        <w:t>spoustu zajímavých informací a osvoji</w:t>
      </w:r>
      <w:r w:rsidR="009738F8">
        <w:t>la si práci s firemními programy.</w:t>
      </w:r>
    </w:p>
    <w:p w14:paraId="1FAAB0B9" w14:textId="6B860898" w:rsidR="00E628BE" w:rsidRPr="00AB6AD3" w:rsidRDefault="00504CB1" w:rsidP="00AB6AD3">
      <w:pPr>
        <w:spacing w:after="0" w:line="360" w:lineRule="auto"/>
        <w:jc w:val="both"/>
      </w:pPr>
      <w:r>
        <w:t xml:space="preserve">Jsem </w:t>
      </w:r>
      <w:r w:rsidR="00EC7CA5">
        <w:t xml:space="preserve">velmi </w:t>
      </w:r>
      <w:r>
        <w:t>vděčná, že mi společnost umožnila</w:t>
      </w:r>
      <w:r w:rsidR="00D13B61">
        <w:t xml:space="preserve"> u nich vykonávat odborné praxe a</w:t>
      </w:r>
      <w:r>
        <w:t xml:space="preserve"> naplnit</w:t>
      </w:r>
      <w:r w:rsidR="00D13B61">
        <w:t xml:space="preserve"> tak</w:t>
      </w:r>
      <w:r>
        <w:t xml:space="preserve"> požadované výstupy</w:t>
      </w:r>
      <w:r w:rsidR="00D13B61">
        <w:t xml:space="preserve">. </w:t>
      </w:r>
      <w:r w:rsidR="004C631D">
        <w:t>Díky této zkušenosti jsem si udělala představu, jak to ve firmách chodí, získala jsem cenné zkušenosti a možnost další spolupráce</w:t>
      </w:r>
      <w:r w:rsidR="00EC7CA5">
        <w:t xml:space="preserve">, kterou jistě využiju. </w:t>
      </w:r>
      <w:r w:rsidR="00AB6AD3">
        <w:t>Celkově tedy absolvování praxe ve společnosti Penta CZ s.r.o. hodnotím velmi kladně.</w:t>
      </w:r>
    </w:p>
    <w:sectPr w:rsidR="00E628BE" w:rsidRPr="00AB6AD3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E194" w14:textId="77777777" w:rsidR="004E5122" w:rsidRDefault="004E5122" w:rsidP="00E628BE">
      <w:pPr>
        <w:spacing w:after="0" w:line="240" w:lineRule="auto"/>
      </w:pPr>
      <w:r>
        <w:separator/>
      </w:r>
    </w:p>
  </w:endnote>
  <w:endnote w:type="continuationSeparator" w:id="0">
    <w:p w14:paraId="7385C7CB" w14:textId="77777777" w:rsidR="004E5122" w:rsidRDefault="004E5122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C8E">
          <w:rPr>
            <w:noProof/>
          </w:rPr>
          <w:t>7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FB70E" w14:textId="77777777" w:rsidR="004E5122" w:rsidRDefault="004E5122" w:rsidP="00E628BE">
      <w:pPr>
        <w:spacing w:after="0" w:line="240" w:lineRule="auto"/>
      </w:pPr>
      <w:r>
        <w:separator/>
      </w:r>
    </w:p>
  </w:footnote>
  <w:footnote w:type="continuationSeparator" w:id="0">
    <w:p w14:paraId="6357F508" w14:textId="77777777" w:rsidR="004E5122" w:rsidRDefault="004E5122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96"/>
    <w:rsid w:val="00013138"/>
    <w:rsid w:val="0001530C"/>
    <w:rsid w:val="0002091F"/>
    <w:rsid w:val="00026A89"/>
    <w:rsid w:val="00027D68"/>
    <w:rsid w:val="000442C1"/>
    <w:rsid w:val="00055B19"/>
    <w:rsid w:val="000C245F"/>
    <w:rsid w:val="000C6B74"/>
    <w:rsid w:val="000D0804"/>
    <w:rsid w:val="000D21DA"/>
    <w:rsid w:val="000D6ABA"/>
    <w:rsid w:val="000E17E8"/>
    <w:rsid w:val="000E2318"/>
    <w:rsid w:val="000E2D92"/>
    <w:rsid w:val="000E3B54"/>
    <w:rsid w:val="00101060"/>
    <w:rsid w:val="001136D4"/>
    <w:rsid w:val="0014078E"/>
    <w:rsid w:val="001421D2"/>
    <w:rsid w:val="0014239C"/>
    <w:rsid w:val="00160F58"/>
    <w:rsid w:val="00190664"/>
    <w:rsid w:val="001A4CF8"/>
    <w:rsid w:val="001C431A"/>
    <w:rsid w:val="001D52F3"/>
    <w:rsid w:val="001E3B92"/>
    <w:rsid w:val="00210CA9"/>
    <w:rsid w:val="00226E3F"/>
    <w:rsid w:val="002547D8"/>
    <w:rsid w:val="0026251E"/>
    <w:rsid w:val="00264111"/>
    <w:rsid w:val="002C58D5"/>
    <w:rsid w:val="002E2347"/>
    <w:rsid w:val="002E7688"/>
    <w:rsid w:val="002E7BD7"/>
    <w:rsid w:val="003023AD"/>
    <w:rsid w:val="003045E0"/>
    <w:rsid w:val="00305DC3"/>
    <w:rsid w:val="00351250"/>
    <w:rsid w:val="00355C7B"/>
    <w:rsid w:val="003607AA"/>
    <w:rsid w:val="0036450B"/>
    <w:rsid w:val="00395FE4"/>
    <w:rsid w:val="003B0F0A"/>
    <w:rsid w:val="003D76DB"/>
    <w:rsid w:val="003F5669"/>
    <w:rsid w:val="00402B7F"/>
    <w:rsid w:val="004040BB"/>
    <w:rsid w:val="00413CC1"/>
    <w:rsid w:val="00433C2B"/>
    <w:rsid w:val="00443C21"/>
    <w:rsid w:val="004442A6"/>
    <w:rsid w:val="00466F0D"/>
    <w:rsid w:val="00485C4C"/>
    <w:rsid w:val="00492DE3"/>
    <w:rsid w:val="0049324A"/>
    <w:rsid w:val="00496D35"/>
    <w:rsid w:val="004A3C64"/>
    <w:rsid w:val="004B0AE5"/>
    <w:rsid w:val="004C520B"/>
    <w:rsid w:val="004C631D"/>
    <w:rsid w:val="004E5122"/>
    <w:rsid w:val="004F4815"/>
    <w:rsid w:val="00502987"/>
    <w:rsid w:val="00504CB1"/>
    <w:rsid w:val="0050789F"/>
    <w:rsid w:val="00546919"/>
    <w:rsid w:val="00550304"/>
    <w:rsid w:val="005622F6"/>
    <w:rsid w:val="00565889"/>
    <w:rsid w:val="00567596"/>
    <w:rsid w:val="005675FC"/>
    <w:rsid w:val="00572C7F"/>
    <w:rsid w:val="005756A4"/>
    <w:rsid w:val="005940A2"/>
    <w:rsid w:val="005A4531"/>
    <w:rsid w:val="005D40CC"/>
    <w:rsid w:val="00611813"/>
    <w:rsid w:val="0064648C"/>
    <w:rsid w:val="006664A7"/>
    <w:rsid w:val="006760A9"/>
    <w:rsid w:val="00681A66"/>
    <w:rsid w:val="006B1578"/>
    <w:rsid w:val="006B3078"/>
    <w:rsid w:val="006D3440"/>
    <w:rsid w:val="006E2593"/>
    <w:rsid w:val="006F1A06"/>
    <w:rsid w:val="00705D86"/>
    <w:rsid w:val="00722C8E"/>
    <w:rsid w:val="00727748"/>
    <w:rsid w:val="007442A7"/>
    <w:rsid w:val="007539A6"/>
    <w:rsid w:val="00760582"/>
    <w:rsid w:val="00761FCB"/>
    <w:rsid w:val="00765411"/>
    <w:rsid w:val="008215AB"/>
    <w:rsid w:val="008320E3"/>
    <w:rsid w:val="00835D49"/>
    <w:rsid w:val="00841C39"/>
    <w:rsid w:val="00856A19"/>
    <w:rsid w:val="008574BE"/>
    <w:rsid w:val="00871C98"/>
    <w:rsid w:val="0087621D"/>
    <w:rsid w:val="0088516A"/>
    <w:rsid w:val="00892B5E"/>
    <w:rsid w:val="008A5855"/>
    <w:rsid w:val="008A61B1"/>
    <w:rsid w:val="008A68B7"/>
    <w:rsid w:val="008C11ED"/>
    <w:rsid w:val="008C3F0A"/>
    <w:rsid w:val="008D6EAF"/>
    <w:rsid w:val="008E270D"/>
    <w:rsid w:val="008E5F1E"/>
    <w:rsid w:val="00911F98"/>
    <w:rsid w:val="009127CE"/>
    <w:rsid w:val="00917306"/>
    <w:rsid w:val="00923F95"/>
    <w:rsid w:val="0095635E"/>
    <w:rsid w:val="009738F8"/>
    <w:rsid w:val="009973BB"/>
    <w:rsid w:val="009A6737"/>
    <w:rsid w:val="009E6497"/>
    <w:rsid w:val="009F38CB"/>
    <w:rsid w:val="009F3C85"/>
    <w:rsid w:val="009F63E7"/>
    <w:rsid w:val="00A16627"/>
    <w:rsid w:val="00A27D69"/>
    <w:rsid w:val="00A405DE"/>
    <w:rsid w:val="00A55ABA"/>
    <w:rsid w:val="00AB436C"/>
    <w:rsid w:val="00AB6AD3"/>
    <w:rsid w:val="00AC6838"/>
    <w:rsid w:val="00AE3A33"/>
    <w:rsid w:val="00AF748B"/>
    <w:rsid w:val="00B20E6F"/>
    <w:rsid w:val="00B30D1A"/>
    <w:rsid w:val="00B4543B"/>
    <w:rsid w:val="00B520E0"/>
    <w:rsid w:val="00B61D96"/>
    <w:rsid w:val="00BA4D04"/>
    <w:rsid w:val="00BC7E23"/>
    <w:rsid w:val="00C05999"/>
    <w:rsid w:val="00C150D8"/>
    <w:rsid w:val="00C40F9C"/>
    <w:rsid w:val="00C40F9E"/>
    <w:rsid w:val="00C454CE"/>
    <w:rsid w:val="00C571E8"/>
    <w:rsid w:val="00C753B0"/>
    <w:rsid w:val="00C912B0"/>
    <w:rsid w:val="00CA24FA"/>
    <w:rsid w:val="00CA56F9"/>
    <w:rsid w:val="00CA76F1"/>
    <w:rsid w:val="00CB4851"/>
    <w:rsid w:val="00CE7AEA"/>
    <w:rsid w:val="00D13B61"/>
    <w:rsid w:val="00D249E3"/>
    <w:rsid w:val="00D351F3"/>
    <w:rsid w:val="00D615C1"/>
    <w:rsid w:val="00D963BE"/>
    <w:rsid w:val="00DB5A51"/>
    <w:rsid w:val="00DC31D2"/>
    <w:rsid w:val="00DD7979"/>
    <w:rsid w:val="00DE4788"/>
    <w:rsid w:val="00E022D4"/>
    <w:rsid w:val="00E25574"/>
    <w:rsid w:val="00E3348F"/>
    <w:rsid w:val="00E628BE"/>
    <w:rsid w:val="00E701D8"/>
    <w:rsid w:val="00E74FE2"/>
    <w:rsid w:val="00EC0165"/>
    <w:rsid w:val="00EC7CA5"/>
    <w:rsid w:val="00ED39C7"/>
    <w:rsid w:val="00ED6AE3"/>
    <w:rsid w:val="00EF4C84"/>
    <w:rsid w:val="00EF72E2"/>
    <w:rsid w:val="00F20319"/>
    <w:rsid w:val="00F57BED"/>
    <w:rsid w:val="00F77831"/>
    <w:rsid w:val="00F93431"/>
    <w:rsid w:val="00F976F8"/>
    <w:rsid w:val="00FA5D2C"/>
    <w:rsid w:val="00FA5EEF"/>
    <w:rsid w:val="00FB4B4A"/>
    <w:rsid w:val="00FC1AA2"/>
    <w:rsid w:val="00FE2C2E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ind w:left="576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E3A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ind w:left="576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AE3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7A05-3E90-4C0E-84A3-C1960231B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9</Pages>
  <Words>1578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Monika Pavelková</cp:lastModifiedBy>
  <cp:revision>75</cp:revision>
  <cp:lastPrinted>2014-10-06T05:49:00Z</cp:lastPrinted>
  <dcterms:created xsi:type="dcterms:W3CDTF">2022-04-22T09:19:00Z</dcterms:created>
  <dcterms:modified xsi:type="dcterms:W3CDTF">2023-05-11T18:29:00Z</dcterms:modified>
</cp:coreProperties>
</file>