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3403DCB" w:rsidR="00AE2420" w:rsidRPr="00AE2420" w:rsidRDefault="00D775D2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  <w:b/>
                <w:szCs w:val="24"/>
              </w:rPr>
              <w:t>REFERENT PRO ROZVOJOVOU ČINNOST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2C19EDB7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8702A6">
              <w:rPr>
                <w:rFonts w:ascii="Cambria" w:hAnsi="Cambria"/>
                <w:szCs w:val="24"/>
              </w:rPr>
              <w:t xml:space="preserve"> podnikové strategie – Správa ústavu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7524FCF8" w14:textId="77777777" w:rsidR="00D775D2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3300">
              <w:rPr>
                <w:rFonts w:ascii="Cambria" w:hAnsi="Cambria"/>
              </w:rPr>
              <w:t>vysokoškolské vzdělání</w:t>
            </w:r>
            <w:r w:rsidR="00D775D2">
              <w:rPr>
                <w:rFonts w:ascii="Cambria" w:hAnsi="Cambria"/>
              </w:rPr>
              <w:t>,</w:t>
            </w:r>
          </w:p>
          <w:p w14:paraId="1E728AA2" w14:textId="048172FD" w:rsidR="00F2529B" w:rsidRPr="00AE2420" w:rsidRDefault="00D775D2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75D2">
              <w:rPr>
                <w:rFonts w:ascii="Cambria" w:hAnsi="Cambria"/>
              </w:rPr>
              <w:t>anglický jazyk minimálně na úrovni B2 dle SERR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4DD56B7E" w:rsidR="00BC4A59" w:rsidRPr="00AE2420" w:rsidRDefault="008702A6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8702A6">
              <w:rPr>
                <w:rFonts w:ascii="Cambria" w:hAnsi="Cambria"/>
                <w:szCs w:val="24"/>
              </w:rPr>
              <w:t>Je přímý podřízený tajemníka ústavu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33704BC" w:rsidR="00324471" w:rsidRPr="00324471" w:rsidRDefault="00D775D2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17B1F76B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6EB6260F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Zajišťuje administraci a technickou podporu projektové, výzkumné, tvůrčí, zakázkové a publikační činnosti.</w:t>
      </w:r>
    </w:p>
    <w:p w14:paraId="5CDEFB98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Zajišťuje administraci a technickou podporu ediční a vydavatelské činnosti.</w:t>
      </w:r>
    </w:p>
    <w:p w14:paraId="7166D0A8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Zajišťuje administraci a technickou podporu vědeckých aktivit (konference, semináře, workshopy apod.).</w:t>
      </w:r>
    </w:p>
    <w:p w14:paraId="105FA017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Podílí se na zakázkové činnosti ústavu.</w:t>
      </w:r>
    </w:p>
    <w:p w14:paraId="3F8D4AED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Zpracovává literární rešerše.</w:t>
      </w:r>
    </w:p>
    <w:p w14:paraId="2A804542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</w:rPr>
        <w:t>Dle pokynů tajemníka ústavu se podílí na koordinaci projektových, výzkumných, tvůrčích, zakázkových a publikačních aktivit.</w:t>
      </w:r>
    </w:p>
    <w:p w14:paraId="15EDC2AE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Odpovídá za kvalitu, obsahovou a formální správnost vypracovaných materiálů.</w:t>
      </w:r>
    </w:p>
    <w:p w14:paraId="5D524E8C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Účastní se školení potřebných k udržení a zvýšení kvalifikace.</w:t>
      </w:r>
    </w:p>
    <w:p w14:paraId="399C39AF" w14:textId="77777777" w:rsidR="00C962D4" w:rsidRDefault="00C962D4" w:rsidP="00C962D4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Další činnosti dle pokynů tajemníka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A010" w14:textId="77777777" w:rsidR="00DF6889" w:rsidRDefault="00DF6889" w:rsidP="00832BE5">
      <w:r>
        <w:separator/>
      </w:r>
    </w:p>
  </w:endnote>
  <w:endnote w:type="continuationSeparator" w:id="0">
    <w:p w14:paraId="7860D079" w14:textId="77777777" w:rsidR="00DF6889" w:rsidRDefault="00DF6889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789A" w14:textId="77777777" w:rsidR="00BF5886" w:rsidRDefault="00BF58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3276FF05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7E7736">
      <w:rPr>
        <w:rFonts w:asciiTheme="minorHAnsi" w:hAnsiTheme="minorHAnsi" w:cstheme="minorHAnsi"/>
      </w:rPr>
      <w:t>8</w:t>
    </w:r>
    <w:r w:rsidR="008702A6">
      <w:rPr>
        <w:rFonts w:asciiTheme="minorHAnsi" w:hAnsiTheme="minorHAnsi" w:cstheme="minorHAnsi"/>
      </w:rPr>
      <w:t>102</w:t>
    </w:r>
    <w:r w:rsidR="007E7736">
      <w:rPr>
        <w:rFonts w:asciiTheme="minorHAnsi" w:hAnsiTheme="minorHAnsi" w:cstheme="minorHAnsi"/>
      </w:rPr>
      <w:t>/</w:t>
    </w:r>
    <w:r w:rsidR="008702A6">
      <w:rPr>
        <w:rFonts w:asciiTheme="minorHAnsi" w:hAnsiTheme="minorHAnsi" w:cstheme="minorHAnsi"/>
      </w:rPr>
      <w:t>3</w:t>
    </w:r>
  </w:p>
  <w:p w14:paraId="1A221FBC" w14:textId="1018CEA3" w:rsidR="00BF5886" w:rsidRPr="00BF5886" w:rsidRDefault="00BF5886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BF5886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F994" w14:textId="77777777" w:rsidR="00BF5886" w:rsidRDefault="00BF5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3DF6" w14:textId="77777777" w:rsidR="00DF6889" w:rsidRDefault="00DF6889" w:rsidP="00832BE5">
      <w:r>
        <w:separator/>
      </w:r>
    </w:p>
  </w:footnote>
  <w:footnote w:type="continuationSeparator" w:id="0">
    <w:p w14:paraId="639E6312" w14:textId="77777777" w:rsidR="00DF6889" w:rsidRDefault="00DF6889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956" w14:textId="77777777" w:rsidR="00BF5886" w:rsidRDefault="00BF58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002DC378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</w:t>
    </w:r>
    <w:r w:rsidR="007E7736">
      <w:rPr>
        <w:rFonts w:ascii="Cambria" w:hAnsi="Cambria"/>
        <w:b/>
      </w:rPr>
      <w:t xml:space="preserve"> (8</w:t>
    </w:r>
    <w:r w:rsidR="008702A6">
      <w:rPr>
        <w:rFonts w:ascii="Cambria" w:hAnsi="Cambria"/>
        <w:b/>
      </w:rPr>
      <w:t>102</w:t>
    </w:r>
    <w:r w:rsidR="007E7736">
      <w:rPr>
        <w:rFonts w:ascii="Cambria" w:hAnsi="Cambria"/>
        <w:b/>
      </w:rPr>
      <w:t>/</w:t>
    </w:r>
    <w:r w:rsidR="008702A6">
      <w:rPr>
        <w:rFonts w:ascii="Cambria" w:hAnsi="Cambria"/>
        <w:b/>
      </w:rPr>
      <w:t>3</w:t>
    </w:r>
    <w:r w:rsidR="007E7736"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44BD" w14:textId="77777777" w:rsidR="00BF5886" w:rsidRDefault="00BF5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025"/>
    <w:multiLevelType w:val="hybridMultilevel"/>
    <w:tmpl w:val="69D4624E"/>
    <w:lvl w:ilvl="0" w:tplc="2196F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52CC1DB2"/>
    <w:multiLevelType w:val="hybridMultilevel"/>
    <w:tmpl w:val="B968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5"/>
  </w:num>
  <w:num w:numId="4" w16cid:durableId="1011103104">
    <w:abstractNumId w:val="3"/>
  </w:num>
  <w:num w:numId="5" w16cid:durableId="172113531">
    <w:abstractNumId w:val="4"/>
  </w:num>
  <w:num w:numId="6" w16cid:durableId="313027893">
    <w:abstractNumId w:val="6"/>
  </w:num>
  <w:num w:numId="7" w16cid:durableId="819272622">
    <w:abstractNumId w:val="0"/>
  </w:num>
  <w:num w:numId="8" w16cid:durableId="15963558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63C65"/>
    <w:rsid w:val="00174676"/>
    <w:rsid w:val="001C7655"/>
    <w:rsid w:val="001D2706"/>
    <w:rsid w:val="002F39F9"/>
    <w:rsid w:val="00316246"/>
    <w:rsid w:val="00324471"/>
    <w:rsid w:val="003A5870"/>
    <w:rsid w:val="003D02CA"/>
    <w:rsid w:val="003D42E2"/>
    <w:rsid w:val="003F7B9A"/>
    <w:rsid w:val="004803EC"/>
    <w:rsid w:val="0051347C"/>
    <w:rsid w:val="00516C7D"/>
    <w:rsid w:val="00632B33"/>
    <w:rsid w:val="006B5EC8"/>
    <w:rsid w:val="006C266E"/>
    <w:rsid w:val="006D6874"/>
    <w:rsid w:val="00721B6A"/>
    <w:rsid w:val="007C1029"/>
    <w:rsid w:val="007E7736"/>
    <w:rsid w:val="00812AF5"/>
    <w:rsid w:val="00826AC2"/>
    <w:rsid w:val="00832BE5"/>
    <w:rsid w:val="008702A6"/>
    <w:rsid w:val="00912149"/>
    <w:rsid w:val="00967871"/>
    <w:rsid w:val="009803E3"/>
    <w:rsid w:val="00981DAA"/>
    <w:rsid w:val="009E1492"/>
    <w:rsid w:val="00A03CAA"/>
    <w:rsid w:val="00A64725"/>
    <w:rsid w:val="00AC341A"/>
    <w:rsid w:val="00AC3F54"/>
    <w:rsid w:val="00AE2420"/>
    <w:rsid w:val="00BC4A59"/>
    <w:rsid w:val="00BD138C"/>
    <w:rsid w:val="00BF5886"/>
    <w:rsid w:val="00C2431C"/>
    <w:rsid w:val="00C962D4"/>
    <w:rsid w:val="00CC7D51"/>
    <w:rsid w:val="00D550B9"/>
    <w:rsid w:val="00D775D2"/>
    <w:rsid w:val="00DA50D3"/>
    <w:rsid w:val="00DC6700"/>
    <w:rsid w:val="00DC74C1"/>
    <w:rsid w:val="00DE3B9C"/>
    <w:rsid w:val="00DF6889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28</cp:revision>
  <cp:lastPrinted>2016-01-08T12:43:00Z</cp:lastPrinted>
  <dcterms:created xsi:type="dcterms:W3CDTF">2015-12-18T08:13:00Z</dcterms:created>
  <dcterms:modified xsi:type="dcterms:W3CDTF">2023-02-22T09:54:00Z</dcterms:modified>
</cp:coreProperties>
</file>