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17B84" w14:textId="77777777" w:rsidR="002D24C8" w:rsidRDefault="00215B95" w:rsidP="009F577D">
      <w:pPr>
        <w:pStyle w:val="Nadpis2"/>
        <w:spacing w:before="0" w:after="120" w:line="240" w:lineRule="auto"/>
        <w:jc w:val="both"/>
      </w:pPr>
      <w:r w:rsidRPr="00835374">
        <w:t>Název projektu</w:t>
      </w:r>
      <w:r w:rsidR="00553101" w:rsidRPr="00835374">
        <w:t>:</w:t>
      </w:r>
    </w:p>
    <w:p w14:paraId="6044168B" w14:textId="5C4A4292" w:rsidR="002D24C8" w:rsidRDefault="009F577D" w:rsidP="009F577D">
      <w:pPr>
        <w:spacing w:after="120" w:line="240" w:lineRule="auto"/>
        <w:jc w:val="both"/>
        <w:rPr>
          <w:rStyle w:val="Nadpis2Char"/>
        </w:rPr>
      </w:pPr>
      <w:r w:rsidRPr="009F577D">
        <w:t>Funkční propojení hardwarového vybavení laboratoře Katedry dopravy a logistiky se softwarem LOGI</w:t>
      </w:r>
      <w:r>
        <w:t>.</w:t>
      </w:r>
    </w:p>
    <w:p w14:paraId="4F61D3E1" w14:textId="7912C608" w:rsidR="002D24C8" w:rsidRDefault="00215B95" w:rsidP="009F577D">
      <w:pPr>
        <w:spacing w:after="120" w:line="240" w:lineRule="auto"/>
        <w:jc w:val="both"/>
      </w:pPr>
      <w:r w:rsidRPr="002D24C8">
        <w:rPr>
          <w:rStyle w:val="Nadpis2Char"/>
        </w:rPr>
        <w:t>Anotace</w:t>
      </w:r>
      <w:r w:rsidR="00553101" w:rsidRPr="002D24C8">
        <w:rPr>
          <w:rStyle w:val="Nadpis2Char"/>
        </w:rPr>
        <w:t>:</w:t>
      </w:r>
      <w:r w:rsidR="00553101" w:rsidRPr="00835374">
        <w:t xml:space="preserve"> </w:t>
      </w:r>
    </w:p>
    <w:p w14:paraId="496140AB" w14:textId="6988EC16" w:rsidR="002D24C8" w:rsidRDefault="009F577D" w:rsidP="009F577D">
      <w:pPr>
        <w:spacing w:after="120" w:line="240" w:lineRule="auto"/>
        <w:jc w:val="both"/>
      </w:pPr>
      <w:r w:rsidRPr="009F577D">
        <w:t>Cílem projektu bude funkční propojení zakoupeného skladového hardwaru (č</w:t>
      </w:r>
      <w:r>
        <w:t>teč</w:t>
      </w:r>
      <w:r w:rsidRPr="009F577D">
        <w:t>ek EAN kódů, terminálové stanic</w:t>
      </w:r>
      <w:r>
        <w:t>e</w:t>
      </w:r>
      <w:r w:rsidRPr="009F577D">
        <w:t xml:space="preserve"> CK3X a RFID brány) na zakoupený software LOGI. Software LOGI umožňuje provádět základní skladové operace, čímž dojde k funkčnost</w:t>
      </w:r>
      <w:r>
        <w:t xml:space="preserve">i </w:t>
      </w:r>
      <w:r w:rsidRPr="009F577D">
        <w:t>simulovaného "miniskladu".</w:t>
      </w:r>
    </w:p>
    <w:p w14:paraId="342A17F8" w14:textId="77777777" w:rsidR="002D24C8" w:rsidRDefault="00215B95" w:rsidP="009F577D">
      <w:pPr>
        <w:pStyle w:val="Nadpis2"/>
        <w:spacing w:before="0" w:after="120" w:line="240" w:lineRule="auto"/>
        <w:jc w:val="both"/>
      </w:pPr>
      <w:r w:rsidRPr="00835374">
        <w:t>Projektový tým</w:t>
      </w:r>
      <w:r w:rsidR="002D24C8">
        <w:t>:</w:t>
      </w:r>
    </w:p>
    <w:p w14:paraId="4EE716FA" w14:textId="77777777" w:rsidR="002D24C8" w:rsidRDefault="00215B95" w:rsidP="009F577D">
      <w:pPr>
        <w:spacing w:after="120" w:line="240" w:lineRule="auto"/>
        <w:jc w:val="both"/>
      </w:pPr>
      <w:r w:rsidRPr="002D24C8">
        <w:rPr>
          <w:rStyle w:val="Nadpis2Char"/>
        </w:rPr>
        <w:t>Hlavní řešitel</w:t>
      </w:r>
      <w:r w:rsidR="00553101" w:rsidRPr="00835374">
        <w:t>: doc. Ing. Ján Ližbetin, PhD.</w:t>
      </w:r>
    </w:p>
    <w:p w14:paraId="22657A47" w14:textId="77777777" w:rsidR="002D24C8" w:rsidRDefault="002D24C8" w:rsidP="009F577D">
      <w:pPr>
        <w:spacing w:after="120" w:line="240" w:lineRule="auto"/>
        <w:jc w:val="both"/>
      </w:pPr>
      <w:r w:rsidRPr="002D24C8">
        <w:rPr>
          <w:rStyle w:val="Nadpis2Char"/>
        </w:rPr>
        <w:t>D</w:t>
      </w:r>
      <w:r w:rsidR="00215B95" w:rsidRPr="002D24C8">
        <w:rPr>
          <w:rStyle w:val="Nadpis2Char"/>
        </w:rPr>
        <w:t>alší řešitelé – studenti</w:t>
      </w:r>
      <w:r w:rsidR="00553101" w:rsidRPr="002D24C8">
        <w:rPr>
          <w:rStyle w:val="Nadpis2Char"/>
        </w:rPr>
        <w:t>:</w:t>
      </w:r>
      <w:r w:rsidR="00553101" w:rsidRPr="00835374">
        <w:t xml:space="preserve"> Bc. Filip Jakubec, Bc. Patrik Gross</w:t>
      </w:r>
    </w:p>
    <w:p w14:paraId="60148161" w14:textId="77777777" w:rsidR="002D24C8" w:rsidRDefault="002D24C8" w:rsidP="009F577D">
      <w:pPr>
        <w:spacing w:after="120" w:line="240" w:lineRule="auto"/>
        <w:jc w:val="both"/>
      </w:pPr>
    </w:p>
    <w:p w14:paraId="50A9D298" w14:textId="77777777" w:rsidR="002D24C8" w:rsidRDefault="00215B95" w:rsidP="009F577D">
      <w:pPr>
        <w:pStyle w:val="Nadpis2"/>
        <w:spacing w:before="0" w:after="120" w:line="240" w:lineRule="auto"/>
        <w:jc w:val="both"/>
      </w:pPr>
      <w:r w:rsidRPr="00835374">
        <w:t>Zásadní odborné výstupy členů výzkumného týmu relevantních pro projekt za poslední 3 roky</w:t>
      </w:r>
      <w:r w:rsidR="00553101" w:rsidRPr="00835374">
        <w:t>:</w:t>
      </w:r>
    </w:p>
    <w:p w14:paraId="330B0BB1" w14:textId="77777777" w:rsidR="002D24C8" w:rsidRDefault="00C256AD" w:rsidP="009F577D">
      <w:pPr>
        <w:spacing w:after="120" w:line="240" w:lineRule="auto"/>
        <w:jc w:val="both"/>
      </w:pPr>
      <w:r w:rsidRPr="00835374">
        <w:t>Ližbetin J. Decision-making processes in introducing RFID technology in manufacturing company, Nase More, Volume 65, Issue 4 Special issue, 1 October 2018, Pages 289-292.</w:t>
      </w:r>
    </w:p>
    <w:p w14:paraId="47E9783E" w14:textId="77777777" w:rsidR="002D24C8" w:rsidRDefault="00C256AD" w:rsidP="009F577D">
      <w:pPr>
        <w:spacing w:after="120" w:line="240" w:lineRule="auto"/>
        <w:jc w:val="both"/>
      </w:pPr>
      <w:r w:rsidRPr="00835374">
        <w:t>Hlatká, M.; Bartuška, L.; Ližbetin, J. Application of the vogel approximation method to reduce transport-logistics processes, MATEC Web of Conferences, Volume 134, 8 November 2017, Article number 00019, 18th International Scientific Conference, LOGI 2017; Clarion Congress Hotel Ceske Budejovice; Czech Republic; 19 October 2017.</w:t>
      </w:r>
    </w:p>
    <w:p w14:paraId="185EC268" w14:textId="77777777" w:rsidR="002D24C8" w:rsidRDefault="00C256AD" w:rsidP="009F577D">
      <w:pPr>
        <w:spacing w:after="120" w:line="240" w:lineRule="auto"/>
        <w:jc w:val="both"/>
      </w:pPr>
      <w:r w:rsidRPr="00835374">
        <w:t>MOLNÁR, Vieroslav, FEDORKO, Gabriel, HONUS, Stanislav, GIROVSKÁ, Lenka a LIŽBETIN, Ján. Selection and Allocation of a Warehouse Linked to Reloading Terminal and Seaport. Nase More, Dubrovnik: University of Dubrovnik, 2018, roč. 65, č. 4, s. 169-173. ISSN 0469-6255.</w:t>
      </w:r>
    </w:p>
    <w:p w14:paraId="73302013" w14:textId="77777777" w:rsidR="002D24C8" w:rsidRDefault="00C256AD" w:rsidP="009F577D">
      <w:pPr>
        <w:spacing w:after="120" w:line="240" w:lineRule="auto"/>
        <w:jc w:val="both"/>
      </w:pPr>
      <w:r w:rsidRPr="00835374">
        <w:t>LIŽBETIN, Ján, HLATKÁ, Martina a BARTUŠKA, Ladislav. Issues Concerning Declared Energy Consumption and Greenhouse Gas Emissions of FAME Biofuels. Sustainability, Basel, Switzerland: MDPI, Basel, Switzerland, 2018, roč. 10, č. 9, s. nestránkováno. ISSN 2071-1050.</w:t>
      </w:r>
    </w:p>
    <w:p w14:paraId="1F13795B" w14:textId="77777777" w:rsidR="002D24C8" w:rsidRDefault="002D24C8" w:rsidP="009F577D">
      <w:pPr>
        <w:spacing w:after="120" w:line="240" w:lineRule="auto"/>
        <w:jc w:val="both"/>
      </w:pPr>
    </w:p>
    <w:p w14:paraId="4B5BF83F" w14:textId="77777777" w:rsidR="002D24C8" w:rsidRDefault="00215B95" w:rsidP="009F577D">
      <w:pPr>
        <w:pStyle w:val="Nadpis2"/>
        <w:spacing w:before="0" w:after="120" w:line="240" w:lineRule="auto"/>
        <w:jc w:val="both"/>
      </w:pPr>
      <w:r w:rsidRPr="00835374">
        <w:t>Odborná charakteristika projektu</w:t>
      </w:r>
    </w:p>
    <w:p w14:paraId="3EC0F51C" w14:textId="318D8D47" w:rsidR="00C151E9" w:rsidRPr="00835374" w:rsidRDefault="009F577D" w:rsidP="009F577D">
      <w:pPr>
        <w:spacing w:after="120" w:line="240" w:lineRule="auto"/>
        <w:jc w:val="both"/>
      </w:pPr>
      <w:r w:rsidRPr="009F577D">
        <w:t>Laboratoř Katedry doprav</w:t>
      </w:r>
      <w:r>
        <w:t>y a logistiky je vybavena</w:t>
      </w:r>
      <w:r w:rsidRPr="009F577D">
        <w:t xml:space="preserve"> reálným modulovým paletovým regál</w:t>
      </w:r>
      <w:r>
        <w:t>e</w:t>
      </w:r>
      <w:r w:rsidRPr="009F577D">
        <w:t xml:space="preserve">m, </w:t>
      </w:r>
      <w:r>
        <w:t>stand</w:t>
      </w:r>
      <w:r w:rsidRPr="009F577D">
        <w:t>a</w:t>
      </w:r>
      <w:r>
        <w:t>r</w:t>
      </w:r>
      <w:r w:rsidRPr="009F577D">
        <w:t>dn</w:t>
      </w:r>
      <w:r>
        <w:t>í</w:t>
      </w:r>
      <w:r w:rsidRPr="009F577D">
        <w:t>mi europalet</w:t>
      </w:r>
      <w:r>
        <w:t>ami</w:t>
      </w:r>
      <w:r w:rsidRPr="009F577D">
        <w:t>, různými typy přepravek,</w:t>
      </w:r>
      <w:r>
        <w:t xml:space="preserve"> kartónových obalů a páskovačem</w:t>
      </w:r>
      <w:r w:rsidRPr="009F577D">
        <w:t>. Dále je laboratoř vybavena hardwarem na automatickou identifikaci jednotek, konk</w:t>
      </w:r>
      <w:r>
        <w:t>r</w:t>
      </w:r>
      <w:r w:rsidRPr="009F577D">
        <w:t>étn</w:t>
      </w:r>
      <w:r>
        <w:t>ě</w:t>
      </w:r>
      <w:r w:rsidRPr="009F577D">
        <w:t xml:space="preserve"> čtečk</w:t>
      </w:r>
      <w:r>
        <w:t>ou</w:t>
      </w:r>
      <w:r w:rsidRPr="009F577D">
        <w:t xml:space="preserve"> kódů Datalogic PowerScan D95302D USB, terminálov</w:t>
      </w:r>
      <w:r>
        <w:t>ou</w:t>
      </w:r>
      <w:r w:rsidRPr="009F577D">
        <w:t xml:space="preserve"> stanicí Intermec CK3X Num. EA30 2D WLAN, válečkov</w:t>
      </w:r>
      <w:r>
        <w:t>ým</w:t>
      </w:r>
      <w:r w:rsidRPr="009F577D">
        <w:t xml:space="preserve"> dopravn</w:t>
      </w:r>
      <w:r>
        <w:t>í</w:t>
      </w:r>
      <w:r w:rsidRPr="009F577D">
        <w:t>k</w:t>
      </w:r>
      <w:r>
        <w:t>em</w:t>
      </w:r>
      <w:r w:rsidRPr="009F577D">
        <w:t xml:space="preserve"> s čtečk</w:t>
      </w:r>
      <w:r>
        <w:t>ou</w:t>
      </w:r>
      <w:r w:rsidRPr="009F577D">
        <w:t xml:space="preserve"> Microscan MS-4 Imager a RFID branou Motorola, </w:t>
      </w:r>
      <w:r>
        <w:t>č</w:t>
      </w:r>
      <w:r w:rsidRPr="009F577D">
        <w:t>te</w:t>
      </w:r>
      <w:r>
        <w:t>č</w:t>
      </w:r>
      <w:r w:rsidRPr="009F577D">
        <w:t>k</w:t>
      </w:r>
      <w:r>
        <w:t>ou</w:t>
      </w:r>
      <w:r w:rsidRPr="009F577D">
        <w:t xml:space="preserve"> Motorola FX 9500 s ovládacím softwarem Session One. Cílem Katedry je vytvořit v laboratoři funkční model skladu, ve kterém by mohli studenti simulovat procesy probíhající ve většině skladů. Konkrétně jde o evidenci skladových položek, příjem položek do skladu (zaskladnění), inventura položek ve skladu, expedice výrobků (vyskladnění položek). Předpokladem pro takovou simulaci je funkční software skladového hospodářství (LOGI) a hardware pro rychlou evidenci položek ve skladu. Obě součásti </w:t>
      </w:r>
      <w:r>
        <w:t>již</w:t>
      </w:r>
      <w:r w:rsidRPr="009F577D">
        <w:t xml:space="preserve"> Katedra zakoupené</w:t>
      </w:r>
      <w:r>
        <w:t xml:space="preserve"> má</w:t>
      </w:r>
      <w:r w:rsidRPr="009F577D">
        <w:t>, je třeba ještě integrovat hardware do skladového systému. Výstupem projektu bude právě funkční napojení hardwaru na software LOGI. Další důležitou část</w:t>
      </w:r>
      <w:r w:rsidR="00C32C7E">
        <w:t>í</w:t>
      </w:r>
      <w:r w:rsidRPr="009F577D">
        <w:t xml:space="preserve"> projektu bude vytvoření modulu regálu laboratoře v softwaru LOGI a konfigurace jednotlivých us</w:t>
      </w:r>
      <w:r w:rsidR="00C32C7E">
        <w:t>kladněných</w:t>
      </w:r>
      <w:r w:rsidRPr="009F577D">
        <w:t xml:space="preserve"> položek v regálech, označení těchto položek</w:t>
      </w:r>
      <w:r w:rsidR="00C32C7E">
        <w:t>,</w:t>
      </w:r>
      <w:r w:rsidRPr="009F577D">
        <w:t xml:space="preserve"> příprava a tisk etiket a smartlabel</w:t>
      </w:r>
      <w:r w:rsidR="00C32C7E">
        <w:t>ů</w:t>
      </w:r>
      <w:r w:rsidRPr="009F577D">
        <w:t xml:space="preserve"> pro automatickou identifikaci jednotlivých položek. Na této činnosti se budou podílet dva studenti denního navazujícího magisterského studia.</w:t>
      </w:r>
    </w:p>
    <w:p w14:paraId="2715AF8C" w14:textId="6D335EFC" w:rsidR="00215B95" w:rsidRPr="00835374" w:rsidRDefault="00215B95" w:rsidP="009F577D">
      <w:pPr>
        <w:pStyle w:val="Nadpis2"/>
        <w:spacing w:before="0" w:after="120" w:line="240" w:lineRule="auto"/>
        <w:jc w:val="both"/>
      </w:pPr>
      <w:r w:rsidRPr="00835374">
        <w:lastRenderedPageBreak/>
        <w:t>Současný stav</w:t>
      </w:r>
    </w:p>
    <w:p w14:paraId="5827BCA5" w14:textId="4300D2AF" w:rsidR="00BD307D" w:rsidRDefault="009F577D" w:rsidP="009F577D">
      <w:pPr>
        <w:pStyle w:val="Nadpis2"/>
        <w:spacing w:before="0" w:after="120" w:line="240" w:lineRule="auto"/>
        <w:jc w:val="both"/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</w:pP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V současnosti je sklad v laboratoři nefunkční, sestává pouze z jednotlivých technických prvků, které ovšem mezi sebou nespolupracují</w:t>
      </w:r>
      <w:r w:rsidR="00C32C7E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.</w:t>
      </w: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 xml:space="preserve"> </w:t>
      </w:r>
      <w:r w:rsidR="00C32C7E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A</w:t>
      </w: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 xml:space="preserve">ktuální hardware v laboratoři slouží pouze jako ukázka vybavení reálného skladu, není však možný praktický nácvik základních skladových činností. V laboratoři </w:t>
      </w:r>
      <w:r w:rsidR="00C32C7E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rovněž</w:t>
      </w: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 xml:space="preserve"> absentují počítače</w:t>
      </w:r>
      <w:r w:rsidR="00C32C7E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 xml:space="preserve"> pro studenty</w:t>
      </w: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, bez kter</w:t>
      </w:r>
      <w:r w:rsidR="00C32C7E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ýc</w:t>
      </w: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h se procesy tvorby skladových karet a výdejek budou při výuce realizovat velmi těžko</w:t>
      </w:r>
      <w:r w:rsidR="00C32C7E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 xml:space="preserve"> (pouze přes jeden centrální počítač)</w:t>
      </w:r>
      <w:r w:rsidRPr="009F577D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.</w:t>
      </w:r>
    </w:p>
    <w:p w14:paraId="119F661C" w14:textId="77777777" w:rsidR="00C32C7E" w:rsidRPr="00C32C7E" w:rsidRDefault="00C32C7E" w:rsidP="00C32C7E"/>
    <w:p w14:paraId="78272884" w14:textId="077CF284" w:rsidR="00215B95" w:rsidRPr="00835374" w:rsidRDefault="00215B95" w:rsidP="009F577D">
      <w:pPr>
        <w:pStyle w:val="Nadpis2"/>
        <w:spacing w:before="0" w:after="120" w:line="240" w:lineRule="auto"/>
        <w:jc w:val="both"/>
      </w:pPr>
      <w:r w:rsidRPr="00835374">
        <w:t>Cíle (předpokládané výstupy), způsob jejich dosažení a časový harmonogram</w:t>
      </w:r>
    </w:p>
    <w:p w14:paraId="0DC93BA1" w14:textId="65E47897" w:rsidR="002D24C8" w:rsidRPr="00835374" w:rsidRDefault="009F577D" w:rsidP="009F577D">
      <w:pPr>
        <w:spacing w:after="120" w:line="240" w:lineRule="auto"/>
        <w:jc w:val="both"/>
      </w:pPr>
      <w:r w:rsidRPr="009F577D">
        <w:t>Hlavním cílem (výstupem) projektu je zkvalitnění výuky nov</w:t>
      </w:r>
      <w:r w:rsidR="00DE70EB">
        <w:t xml:space="preserve">ě </w:t>
      </w:r>
      <w:r w:rsidRPr="009F577D">
        <w:t>akreditovaného navazujícího magisterského studia Logistika. Konkrétně je projekt zaměřený na podporu praktické výuky předmětu Sklady a skladování. Dalším cílem projektu j</w:t>
      </w:r>
      <w:r w:rsidR="00C32C7E">
        <w:t>e aktivní zapojení studentů do v</w:t>
      </w:r>
      <w:r w:rsidRPr="009F577D">
        <w:t>ýzkumn</w:t>
      </w:r>
      <w:r w:rsidR="00C32C7E">
        <w:t>é</w:t>
      </w:r>
      <w:r w:rsidRPr="009F577D">
        <w:t xml:space="preserve"> činnosti </w:t>
      </w:r>
      <w:r w:rsidR="00C32C7E">
        <w:t>k</w:t>
      </w:r>
      <w:r w:rsidRPr="009F577D">
        <w:t>atedr</w:t>
      </w:r>
      <w:bookmarkStart w:id="0" w:name="_GoBack"/>
      <w:bookmarkEnd w:id="0"/>
      <w:r w:rsidRPr="009F577D">
        <w:t>y.</w:t>
      </w:r>
    </w:p>
    <w:p w14:paraId="1A7ADF8F" w14:textId="77777777" w:rsidR="00DE70EB" w:rsidRDefault="00DE70EB" w:rsidP="009F577D">
      <w:pPr>
        <w:pStyle w:val="Nadpis2"/>
        <w:spacing w:before="0" w:after="120" w:line="240" w:lineRule="auto"/>
        <w:jc w:val="both"/>
      </w:pPr>
    </w:p>
    <w:p w14:paraId="56C6E2DA" w14:textId="3A84FA16" w:rsidR="00835374" w:rsidRDefault="00835374" w:rsidP="009F577D">
      <w:pPr>
        <w:pStyle w:val="Nadpis2"/>
        <w:spacing w:before="0" w:after="120" w:line="240" w:lineRule="auto"/>
        <w:jc w:val="both"/>
      </w:pPr>
      <w:r>
        <w:t xml:space="preserve">Harmonogram </w:t>
      </w:r>
      <w:r w:rsidR="00C32C7E">
        <w:t>ř</w:t>
      </w:r>
      <w:r>
        <w:t>ešen</w:t>
      </w:r>
      <w:r w:rsidR="00C32C7E">
        <w:t>í</w:t>
      </w:r>
      <w:r>
        <w:t>:</w:t>
      </w:r>
    </w:p>
    <w:p w14:paraId="4CB4CB73" w14:textId="65F6EFFA" w:rsidR="009F577D" w:rsidRDefault="009F577D" w:rsidP="00C32C7E">
      <w:pPr>
        <w:spacing w:after="120" w:line="240" w:lineRule="auto"/>
        <w:jc w:val="both"/>
      </w:pPr>
      <w:r>
        <w:t xml:space="preserve">1. </w:t>
      </w:r>
      <w:r w:rsidR="00C32C7E">
        <w:t>Z</w:t>
      </w:r>
      <w:r>
        <w:t>adání úkolu propojení softwaru LOGI s hardwarem laboratoře (dodavatel softwar</w:t>
      </w:r>
      <w:r w:rsidR="00C32C7E">
        <w:t>u</w:t>
      </w:r>
      <w:r>
        <w:t xml:space="preserve"> LOGI) - duben 2019;</w:t>
      </w:r>
    </w:p>
    <w:p w14:paraId="4EEDD6DD" w14:textId="6055281A" w:rsidR="009F577D" w:rsidRDefault="009F577D" w:rsidP="00C32C7E">
      <w:pPr>
        <w:spacing w:after="120" w:line="240" w:lineRule="auto"/>
        <w:jc w:val="both"/>
      </w:pPr>
      <w:r>
        <w:t xml:space="preserve">2. </w:t>
      </w:r>
      <w:r w:rsidR="00C32C7E">
        <w:t>I</w:t>
      </w:r>
      <w:r>
        <w:t xml:space="preserve">nstalace </w:t>
      </w:r>
      <w:r w:rsidR="00DE70EB">
        <w:t>systému</w:t>
      </w:r>
      <w:r>
        <w:t>, kontrola fun</w:t>
      </w:r>
      <w:r w:rsidR="00C32C7E">
        <w:t>kčnosti</w:t>
      </w:r>
      <w:r>
        <w:t xml:space="preserve"> a kompatibility systému</w:t>
      </w:r>
      <w:r w:rsidR="00C32C7E">
        <w:t>, školení uživatelů - září 2019;</w:t>
      </w:r>
    </w:p>
    <w:p w14:paraId="1558BF32" w14:textId="0DF2E697" w:rsidR="009F577D" w:rsidRDefault="009F577D" w:rsidP="00C32C7E">
      <w:pPr>
        <w:spacing w:after="120" w:line="240" w:lineRule="auto"/>
        <w:jc w:val="both"/>
      </w:pPr>
      <w:r>
        <w:t xml:space="preserve">3. </w:t>
      </w:r>
      <w:r w:rsidR="00C32C7E">
        <w:t>V</w:t>
      </w:r>
      <w:r>
        <w:t>ytvoření modelu skladu laboratoře KDL v softwar</w:t>
      </w:r>
      <w:r w:rsidR="00DE70EB">
        <w:t xml:space="preserve">u LOGI, tvorba skladových karet </w:t>
      </w:r>
      <w:r w:rsidR="00C32C7E">
        <w:t>- říjen 2019;</w:t>
      </w:r>
    </w:p>
    <w:p w14:paraId="08AB8BA7" w14:textId="4EE27DE1" w:rsidR="009F577D" w:rsidRDefault="009F577D" w:rsidP="00C32C7E">
      <w:pPr>
        <w:spacing w:after="120" w:line="240" w:lineRule="auto"/>
        <w:jc w:val="both"/>
      </w:pPr>
      <w:r>
        <w:t xml:space="preserve">4. </w:t>
      </w:r>
      <w:r w:rsidR="00C32C7E">
        <w:t>Z</w:t>
      </w:r>
      <w:r>
        <w:t>puštění testovacího provozu skladu, testování zaskladnění, vysklad</w:t>
      </w:r>
      <w:r w:rsidR="00C32C7E">
        <w:t>nění, inventury - listopad 2019;</w:t>
      </w:r>
    </w:p>
    <w:p w14:paraId="5B07C625" w14:textId="0982F11A" w:rsidR="002D24C8" w:rsidRDefault="009F577D" w:rsidP="00C32C7E">
      <w:pPr>
        <w:spacing w:after="120" w:line="240" w:lineRule="auto"/>
        <w:jc w:val="both"/>
      </w:pPr>
      <w:r>
        <w:t xml:space="preserve">5. </w:t>
      </w:r>
      <w:r w:rsidR="00C32C7E">
        <w:t>O</w:t>
      </w:r>
      <w:r>
        <w:t>b</w:t>
      </w:r>
      <w:r w:rsidR="00C32C7E">
        <w:t>h</w:t>
      </w:r>
      <w:r>
        <w:t>ajoba pr</w:t>
      </w:r>
      <w:r w:rsidR="00C32C7E">
        <w:t>o</w:t>
      </w:r>
      <w:r>
        <w:t>jektu - prosinec 2019.</w:t>
      </w:r>
    </w:p>
    <w:p w14:paraId="7F682E4F" w14:textId="77777777" w:rsidR="00C32C7E" w:rsidRPr="00835374" w:rsidRDefault="00C32C7E" w:rsidP="00C32C7E">
      <w:pPr>
        <w:spacing w:after="120" w:line="240" w:lineRule="auto"/>
        <w:jc w:val="both"/>
      </w:pPr>
    </w:p>
    <w:p w14:paraId="302F0AA1" w14:textId="7A2281AC" w:rsidR="00215B95" w:rsidRDefault="00215B95" w:rsidP="009F577D">
      <w:pPr>
        <w:pStyle w:val="Nadpis2"/>
        <w:spacing w:before="0" w:after="120" w:line="240" w:lineRule="auto"/>
        <w:jc w:val="both"/>
      </w:pPr>
      <w:r w:rsidRPr="00835374">
        <w:t>Položkový rozpočet, včetně účastí na odborných akcích a konferencích</w:t>
      </w:r>
    </w:p>
    <w:p w14:paraId="757CE712" w14:textId="77777777" w:rsidR="003C4B31" w:rsidRDefault="004A2EE8" w:rsidP="009F577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>
        <w:t xml:space="preserve">Napojení čtečky na dopravníku a RFID brány: </w:t>
      </w:r>
      <w:r w:rsidR="003C4B31">
        <w:t xml:space="preserve">cca </w:t>
      </w:r>
      <w:r>
        <w:t>110 000</w:t>
      </w:r>
      <w:r w:rsidR="003C4B31">
        <w:t xml:space="preserve"> Kč,</w:t>
      </w:r>
    </w:p>
    <w:p w14:paraId="13F09394" w14:textId="77777777" w:rsidR="003C4B31" w:rsidRDefault="004A2EE8" w:rsidP="009F577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>
        <w:t xml:space="preserve">Implementace (instalace, nastavení, školení): </w:t>
      </w:r>
      <w:r w:rsidR="003C4B31">
        <w:t xml:space="preserve">cca </w:t>
      </w:r>
      <w:r>
        <w:t>50 000 Kč</w:t>
      </w:r>
      <w:r w:rsidR="003C4B31">
        <w:t>,</w:t>
      </w:r>
    </w:p>
    <w:p w14:paraId="18D58EB6" w14:textId="377E3B4B" w:rsidR="004A2EE8" w:rsidRDefault="004A2EE8" w:rsidP="009F577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>
        <w:t>Licence na SW pro čtečku: 25 000 Kč/lic</w:t>
      </w:r>
      <w:r w:rsidR="003C4B31">
        <w:t>ence,</w:t>
      </w:r>
    </w:p>
    <w:p w14:paraId="00B5820B" w14:textId="72562DE6" w:rsidR="003C4B31" w:rsidRDefault="003C4B31" w:rsidP="009F577D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</w:pPr>
      <w:r>
        <w:t>osobní náklady (studenti): 5 000 Kč.</w:t>
      </w:r>
    </w:p>
    <w:p w14:paraId="6F2BD3FA" w14:textId="021BC449" w:rsidR="003C4B31" w:rsidRPr="004A2EE8" w:rsidRDefault="003C4B31" w:rsidP="009F577D">
      <w:pPr>
        <w:pStyle w:val="Odstavecseseznamem"/>
        <w:spacing w:after="120" w:line="240" w:lineRule="auto"/>
        <w:contextualSpacing w:val="0"/>
        <w:jc w:val="both"/>
      </w:pPr>
      <w:r>
        <w:t>celkem:</w:t>
      </w:r>
      <w:r>
        <w:tab/>
        <w:t>190 000 Kč.</w:t>
      </w:r>
    </w:p>
    <w:p w14:paraId="69265F89" w14:textId="002BF925" w:rsidR="00DE70EB" w:rsidRPr="00C32C7E" w:rsidRDefault="00DE70EB" w:rsidP="00C32C7E"/>
    <w:p w14:paraId="0FE35645" w14:textId="2208457B" w:rsidR="00D9412E" w:rsidRPr="00D9412E" w:rsidRDefault="0064034A" w:rsidP="009F577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</w:t>
      </w:r>
      <w:r w:rsidR="00C32C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C4B31">
        <w:rPr>
          <w:rFonts w:ascii="Times New Roman" w:hAnsi="Times New Roman" w:cs="Times New Roman"/>
        </w:rPr>
        <w:t>12.03.2019</w:t>
      </w:r>
    </w:p>
    <w:p w14:paraId="0A521F33" w14:textId="4CF3258B" w:rsidR="00D9412E" w:rsidRDefault="003C4B31" w:rsidP="009F577D">
      <w:pPr>
        <w:tabs>
          <w:tab w:val="left" w:pos="7245"/>
        </w:tabs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26F41226" wp14:editId="04421161">
            <wp:extent cx="1781175" cy="88411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j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417" cy="9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6"/>
      </w:tblGrid>
      <w:tr w:rsidR="00973EDC" w14:paraId="02B58706" w14:textId="77777777" w:rsidTr="0086681C">
        <w:tc>
          <w:tcPr>
            <w:tcW w:w="5172" w:type="dxa"/>
          </w:tcPr>
          <w:p w14:paraId="22EEE4DD" w14:textId="77777777" w:rsidR="00973EDC" w:rsidRDefault="00973EDC" w:rsidP="009F577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14:paraId="41CEB57F" w14:textId="4B7D0D2F" w:rsidR="00973EDC" w:rsidRDefault="00215B95" w:rsidP="009F577D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řešitel</w:t>
            </w:r>
          </w:p>
          <w:p w14:paraId="3215A05B" w14:textId="176FA2F0" w:rsidR="00973EDC" w:rsidRDefault="00973EDC" w:rsidP="009F577D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CA4D4D" w14:textId="77777777" w:rsidR="00757FEC" w:rsidRDefault="00757FEC" w:rsidP="009F577D">
      <w:pPr>
        <w:spacing w:after="120" w:line="240" w:lineRule="auto"/>
        <w:jc w:val="both"/>
      </w:pP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4765F" w14:textId="77777777" w:rsidR="00E77614" w:rsidRDefault="00E77614" w:rsidP="00D61E76">
      <w:pPr>
        <w:spacing w:after="0" w:line="240" w:lineRule="auto"/>
      </w:pPr>
      <w:r>
        <w:separator/>
      </w:r>
    </w:p>
  </w:endnote>
  <w:endnote w:type="continuationSeparator" w:id="0">
    <w:p w14:paraId="3E378AAE" w14:textId="77777777" w:rsidR="00E77614" w:rsidRDefault="00E7761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F9BDB3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36E496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9944E3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7EF3" w14:textId="77777777" w:rsidR="00E77614" w:rsidRDefault="00E77614" w:rsidP="00D61E76">
      <w:pPr>
        <w:spacing w:after="0" w:line="240" w:lineRule="auto"/>
      </w:pPr>
      <w:r>
        <w:separator/>
      </w:r>
    </w:p>
  </w:footnote>
  <w:footnote w:type="continuationSeparator" w:id="0">
    <w:p w14:paraId="0D7734CA" w14:textId="77777777" w:rsidR="00E77614" w:rsidRDefault="00E7761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19BD9C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D33AD4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202"/>
    <w:multiLevelType w:val="hybridMultilevel"/>
    <w:tmpl w:val="71C8A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21AE2"/>
    <w:multiLevelType w:val="hybridMultilevel"/>
    <w:tmpl w:val="B49A0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F366D"/>
    <w:multiLevelType w:val="hybridMultilevel"/>
    <w:tmpl w:val="7234D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5321D"/>
    <w:multiLevelType w:val="hybridMultilevel"/>
    <w:tmpl w:val="F348BA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A36EC"/>
    <w:rsid w:val="000E3A5F"/>
    <w:rsid w:val="00152366"/>
    <w:rsid w:val="00163B42"/>
    <w:rsid w:val="0018423B"/>
    <w:rsid w:val="001F5B21"/>
    <w:rsid w:val="002071DA"/>
    <w:rsid w:val="00215B95"/>
    <w:rsid w:val="00236BFF"/>
    <w:rsid w:val="002413E9"/>
    <w:rsid w:val="002872EA"/>
    <w:rsid w:val="002A5860"/>
    <w:rsid w:val="002D24C8"/>
    <w:rsid w:val="002F31F2"/>
    <w:rsid w:val="00317871"/>
    <w:rsid w:val="0034727F"/>
    <w:rsid w:val="003508DB"/>
    <w:rsid w:val="00355381"/>
    <w:rsid w:val="00386AA2"/>
    <w:rsid w:val="00387BA2"/>
    <w:rsid w:val="003C4B31"/>
    <w:rsid w:val="003F1B2E"/>
    <w:rsid w:val="00455A47"/>
    <w:rsid w:val="00465BF0"/>
    <w:rsid w:val="00480639"/>
    <w:rsid w:val="004A2EE8"/>
    <w:rsid w:val="004D27B0"/>
    <w:rsid w:val="00513FD6"/>
    <w:rsid w:val="00553101"/>
    <w:rsid w:val="00580389"/>
    <w:rsid w:val="005B6F79"/>
    <w:rsid w:val="005F1526"/>
    <w:rsid w:val="00625684"/>
    <w:rsid w:val="00637C92"/>
    <w:rsid w:val="0064034A"/>
    <w:rsid w:val="00646470"/>
    <w:rsid w:val="00676674"/>
    <w:rsid w:val="006D3803"/>
    <w:rsid w:val="00701AA2"/>
    <w:rsid w:val="0071299B"/>
    <w:rsid w:val="00755CB1"/>
    <w:rsid w:val="00755F32"/>
    <w:rsid w:val="00757FEC"/>
    <w:rsid w:val="00785C1A"/>
    <w:rsid w:val="007B1B35"/>
    <w:rsid w:val="007B24B7"/>
    <w:rsid w:val="007D210B"/>
    <w:rsid w:val="007F52B6"/>
    <w:rsid w:val="00835374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D22D8"/>
    <w:rsid w:val="009F577D"/>
    <w:rsid w:val="00A014CD"/>
    <w:rsid w:val="00A35490"/>
    <w:rsid w:val="00A5447E"/>
    <w:rsid w:val="00A8191B"/>
    <w:rsid w:val="00AB3E6C"/>
    <w:rsid w:val="00AE1788"/>
    <w:rsid w:val="00AE2DB3"/>
    <w:rsid w:val="00B33445"/>
    <w:rsid w:val="00B34D4C"/>
    <w:rsid w:val="00B737E3"/>
    <w:rsid w:val="00B857DC"/>
    <w:rsid w:val="00BD307D"/>
    <w:rsid w:val="00BE6148"/>
    <w:rsid w:val="00BF7C6C"/>
    <w:rsid w:val="00C151E9"/>
    <w:rsid w:val="00C256AD"/>
    <w:rsid w:val="00C32C7E"/>
    <w:rsid w:val="00C74E19"/>
    <w:rsid w:val="00C9710D"/>
    <w:rsid w:val="00D05E54"/>
    <w:rsid w:val="00D61E76"/>
    <w:rsid w:val="00D657B5"/>
    <w:rsid w:val="00D9412E"/>
    <w:rsid w:val="00DC0901"/>
    <w:rsid w:val="00DE516D"/>
    <w:rsid w:val="00DE70EB"/>
    <w:rsid w:val="00E77614"/>
    <w:rsid w:val="00E92842"/>
    <w:rsid w:val="00EB2303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CEE64E3-C717-437D-92F4-2E603E17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Ližbetin Ján</cp:lastModifiedBy>
  <cp:revision>6</cp:revision>
  <cp:lastPrinted>2016-01-22T07:23:00Z</cp:lastPrinted>
  <dcterms:created xsi:type="dcterms:W3CDTF">2019-03-12T10:50:00Z</dcterms:created>
  <dcterms:modified xsi:type="dcterms:W3CDTF">2019-03-12T11:15:00Z</dcterms:modified>
</cp:coreProperties>
</file>