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BF8FE" w14:textId="53E05A4C" w:rsidR="00AE1878" w:rsidRPr="00E14A1A" w:rsidRDefault="00AE1878" w:rsidP="00E14A1A">
      <w:pPr>
        <w:pStyle w:val="Nadpis1"/>
      </w:pPr>
      <w:bookmarkStart w:id="0" w:name="_Toc13829019"/>
      <w:bookmarkStart w:id="1" w:name="_Toc7772752"/>
      <w:bookmarkStart w:id="2" w:name="_Toc7772790"/>
      <w:bookmarkStart w:id="3" w:name="_Toc9420165"/>
      <w:bookmarkStart w:id="4" w:name="_Toc13829020"/>
      <w:bookmarkStart w:id="5" w:name="_Toc6493941"/>
      <w:bookmarkStart w:id="6" w:name="_Toc7772753"/>
      <w:bookmarkStart w:id="7" w:name="_Toc9420166"/>
      <w:bookmarkEnd w:id="0"/>
      <w:r w:rsidRPr="00E14A1A">
        <w:t xml:space="preserve">SEBEEVALUAČNÍ ZPRÁVA K </w:t>
      </w:r>
      <w:r w:rsidR="00895671" w:rsidRPr="00E14A1A">
        <w:t>MODULŮM 4 a 5</w:t>
      </w:r>
    </w:p>
    <w:p w14:paraId="17311DAB" w14:textId="70F17ECF" w:rsidR="00AE1878" w:rsidRPr="00AE1878" w:rsidRDefault="00AE1878" w:rsidP="00AE1878">
      <w:pPr>
        <w:widowControl w:val="0"/>
        <w:autoSpaceDE w:val="0"/>
        <w:autoSpaceDN w:val="0"/>
        <w:adjustRightInd w:val="0"/>
        <w:spacing w:line="240" w:lineRule="atLeast"/>
        <w:jc w:val="center"/>
        <w:rPr>
          <w:rFonts w:cstheme="minorHAnsi"/>
          <w:b/>
          <w:bCs/>
          <w:sz w:val="40"/>
          <w:szCs w:val="40"/>
          <w:lang w:val="cs-CZ"/>
        </w:rPr>
      </w:pPr>
      <w:r>
        <w:rPr>
          <w:rFonts w:cstheme="minorHAnsi"/>
          <w:b/>
          <w:bCs/>
          <w:sz w:val="40"/>
          <w:szCs w:val="40"/>
          <w:lang w:val="cs-CZ"/>
        </w:rPr>
        <w:t>_______________________________________________</w:t>
      </w:r>
      <w:bookmarkEnd w:id="1"/>
      <w:bookmarkEnd w:id="2"/>
      <w:bookmarkEnd w:id="3"/>
    </w:p>
    <w:p w14:paraId="4D0D134B" w14:textId="77777777" w:rsidR="00AE1878" w:rsidRDefault="00AE1878" w:rsidP="00E14A1A">
      <w:pPr>
        <w:pStyle w:val="Nadpis2"/>
      </w:pPr>
    </w:p>
    <w:p w14:paraId="228E684C" w14:textId="77777777" w:rsidR="00895671" w:rsidRDefault="00895671" w:rsidP="00895671">
      <w:pPr>
        <w:rPr>
          <w:lang w:val="cs-CZ"/>
        </w:rPr>
      </w:pPr>
    </w:p>
    <w:p w14:paraId="668F5599" w14:textId="77777777" w:rsidR="00895671" w:rsidRPr="00895671" w:rsidRDefault="00895671" w:rsidP="00895671">
      <w:pPr>
        <w:pBdr>
          <w:top w:val="single" w:sz="2" w:space="1" w:color="auto"/>
        </w:pBdr>
        <w:shd w:val="clear" w:color="auto" w:fill="F2F2F2"/>
        <w:rPr>
          <w:rFonts w:ascii="Calibri" w:eastAsia="Calibri" w:hAnsi="Calibri" w:cs="Times New Roman"/>
          <w:b/>
          <w:color w:val="000000"/>
          <w:sz w:val="28"/>
          <w:szCs w:val="28"/>
        </w:rPr>
      </w:pPr>
      <w:r w:rsidRPr="00895671">
        <w:rPr>
          <w:rFonts w:ascii="Calibri" w:eastAsia="Calibri" w:hAnsi="Calibri" w:cs="Times New Roman"/>
          <w:b/>
          <w:color w:val="000000"/>
          <w:sz w:val="28"/>
          <w:szCs w:val="28"/>
        </w:rPr>
        <w:t>NÁZEV VYSOKÉ ŠKOLY:</w:t>
      </w:r>
    </w:p>
    <w:p w14:paraId="23D3B0BD" w14:textId="77777777" w:rsidR="00895671" w:rsidRPr="00895671" w:rsidRDefault="00895671" w:rsidP="00895671">
      <w:pPr>
        <w:pBdr>
          <w:top w:val="single" w:sz="2" w:space="1" w:color="auto"/>
        </w:pBdr>
        <w:shd w:val="clear" w:color="auto" w:fill="F2F2F2"/>
        <w:rPr>
          <w:rFonts w:ascii="Calibri" w:eastAsia="Calibri" w:hAnsi="Calibri" w:cs="Times New Roman"/>
          <w:b/>
          <w:color w:val="000000"/>
          <w:sz w:val="28"/>
          <w:szCs w:val="28"/>
        </w:rPr>
      </w:pPr>
      <w:r w:rsidRPr="00895671">
        <w:rPr>
          <w:rFonts w:ascii="Calibri" w:eastAsia="Calibri" w:hAnsi="Calibri" w:cs="Times New Roman"/>
          <w:b/>
          <w:color w:val="000000"/>
          <w:sz w:val="28"/>
          <w:szCs w:val="28"/>
        </w:rPr>
        <w:t xml:space="preserve"> </w:t>
      </w:r>
    </w:p>
    <w:p w14:paraId="0B301A8E" w14:textId="77777777" w:rsidR="00895671" w:rsidRPr="00895671" w:rsidRDefault="00895671" w:rsidP="00895671">
      <w:pPr>
        <w:pBdr>
          <w:bottom w:val="single" w:sz="4" w:space="1" w:color="auto"/>
        </w:pBdr>
        <w:shd w:val="clear" w:color="auto" w:fill="F2F2F2"/>
        <w:rPr>
          <w:rFonts w:ascii="Calibri" w:eastAsia="Calibri" w:hAnsi="Calibri" w:cs="Times New Roman"/>
          <w:b/>
          <w:color w:val="000000"/>
          <w:sz w:val="28"/>
          <w:szCs w:val="28"/>
        </w:rPr>
      </w:pPr>
      <w:r w:rsidRPr="00895671">
        <w:rPr>
          <w:rFonts w:ascii="Calibri" w:eastAsia="Calibri" w:hAnsi="Calibri" w:cs="Times New Roman"/>
          <w:b/>
          <w:color w:val="000000"/>
          <w:sz w:val="28"/>
          <w:szCs w:val="28"/>
        </w:rPr>
        <w:t>IDENTIFIKAČNÍ ČÍSLO VYSOKÉ ŠKOLY (IČ):</w:t>
      </w:r>
    </w:p>
    <w:p w14:paraId="4C43F809" w14:textId="77777777" w:rsidR="00895671" w:rsidRDefault="00895671" w:rsidP="00895671">
      <w:pPr>
        <w:rPr>
          <w:lang w:val="cs-CZ"/>
        </w:rPr>
      </w:pPr>
    </w:p>
    <w:p w14:paraId="5B946BCE" w14:textId="77777777" w:rsidR="00895671" w:rsidRDefault="00895671" w:rsidP="00895671">
      <w:pPr>
        <w:rPr>
          <w:lang w:val="cs-CZ"/>
        </w:rPr>
      </w:pPr>
    </w:p>
    <w:p w14:paraId="031CB988" w14:textId="77777777" w:rsidR="00E14A1A" w:rsidRDefault="00E14A1A" w:rsidP="00895671">
      <w:pPr>
        <w:rPr>
          <w:lang w:val="cs-CZ"/>
        </w:rPr>
      </w:pPr>
    </w:p>
    <w:p w14:paraId="0AB64747" w14:textId="77777777" w:rsidR="00E14A1A" w:rsidRDefault="00E14A1A" w:rsidP="00895671">
      <w:pPr>
        <w:rPr>
          <w:lang w:val="cs-CZ"/>
        </w:rPr>
      </w:pPr>
    </w:p>
    <w:p w14:paraId="0DD92276" w14:textId="77777777" w:rsidR="00E14A1A" w:rsidRDefault="00E14A1A" w:rsidP="00895671">
      <w:pPr>
        <w:rPr>
          <w:lang w:val="cs-CZ"/>
        </w:rPr>
      </w:pPr>
    </w:p>
    <w:p w14:paraId="5E0BB26A" w14:textId="77777777" w:rsidR="00E14A1A" w:rsidRDefault="00E14A1A" w:rsidP="00895671">
      <w:pPr>
        <w:rPr>
          <w:lang w:val="cs-CZ"/>
        </w:rPr>
      </w:pPr>
    </w:p>
    <w:p w14:paraId="01C86EC8" w14:textId="77777777" w:rsidR="00E14A1A" w:rsidRDefault="00E14A1A" w:rsidP="00895671">
      <w:pPr>
        <w:rPr>
          <w:lang w:val="cs-CZ"/>
        </w:rPr>
      </w:pPr>
    </w:p>
    <w:p w14:paraId="014E976C" w14:textId="77777777" w:rsidR="00E14A1A" w:rsidRDefault="00E14A1A" w:rsidP="00895671">
      <w:pPr>
        <w:rPr>
          <w:lang w:val="cs-CZ"/>
        </w:rPr>
      </w:pPr>
    </w:p>
    <w:p w14:paraId="3F13B685" w14:textId="77777777" w:rsidR="00E14A1A" w:rsidRDefault="00E14A1A" w:rsidP="00895671">
      <w:pPr>
        <w:rPr>
          <w:lang w:val="cs-CZ"/>
        </w:rPr>
      </w:pPr>
    </w:p>
    <w:p w14:paraId="724DE433" w14:textId="77777777" w:rsidR="00E14A1A" w:rsidRDefault="00E14A1A" w:rsidP="00895671">
      <w:pPr>
        <w:rPr>
          <w:lang w:val="cs-CZ"/>
        </w:rPr>
      </w:pPr>
    </w:p>
    <w:p w14:paraId="31386819" w14:textId="77777777" w:rsidR="00E14A1A" w:rsidRDefault="00E14A1A" w:rsidP="00895671">
      <w:pPr>
        <w:rPr>
          <w:lang w:val="cs-CZ"/>
        </w:rPr>
      </w:pPr>
    </w:p>
    <w:p w14:paraId="5BFE4C64" w14:textId="77777777" w:rsidR="00E14A1A" w:rsidRDefault="00E14A1A" w:rsidP="00895671">
      <w:pPr>
        <w:rPr>
          <w:lang w:val="cs-CZ"/>
        </w:rPr>
      </w:pPr>
    </w:p>
    <w:p w14:paraId="45C572D7" w14:textId="77777777" w:rsidR="00E14A1A" w:rsidRDefault="00E14A1A" w:rsidP="00895671">
      <w:pPr>
        <w:rPr>
          <w:lang w:val="cs-CZ"/>
        </w:rPr>
      </w:pPr>
    </w:p>
    <w:p w14:paraId="42D38C21" w14:textId="77777777" w:rsidR="00E14A1A" w:rsidRDefault="00E14A1A" w:rsidP="00895671">
      <w:pPr>
        <w:rPr>
          <w:lang w:val="cs-CZ"/>
        </w:rPr>
      </w:pPr>
    </w:p>
    <w:p w14:paraId="48B3A8A7" w14:textId="77777777" w:rsidR="00E14A1A" w:rsidRDefault="00E14A1A" w:rsidP="00895671">
      <w:pPr>
        <w:rPr>
          <w:lang w:val="cs-CZ"/>
        </w:rPr>
      </w:pPr>
    </w:p>
    <w:p w14:paraId="2F59E044" w14:textId="77777777" w:rsidR="00E14A1A" w:rsidRDefault="00E14A1A" w:rsidP="00895671">
      <w:pPr>
        <w:rPr>
          <w:lang w:val="cs-CZ"/>
        </w:rPr>
      </w:pPr>
    </w:p>
    <w:p w14:paraId="25FD6320" w14:textId="77777777" w:rsidR="00E14A1A" w:rsidRDefault="00E14A1A" w:rsidP="00895671">
      <w:pPr>
        <w:rPr>
          <w:lang w:val="cs-CZ"/>
        </w:rPr>
      </w:pPr>
    </w:p>
    <w:p w14:paraId="04D094FA" w14:textId="77777777" w:rsidR="00E14A1A" w:rsidRDefault="00E14A1A" w:rsidP="00895671">
      <w:pPr>
        <w:rPr>
          <w:lang w:val="cs-CZ"/>
        </w:rPr>
      </w:pPr>
    </w:p>
    <w:p w14:paraId="50EFDFD6" w14:textId="77777777" w:rsidR="00E14A1A" w:rsidRDefault="00E14A1A" w:rsidP="00895671">
      <w:pPr>
        <w:rPr>
          <w:lang w:val="cs-CZ"/>
        </w:rPr>
      </w:pPr>
    </w:p>
    <w:p w14:paraId="1D6AE43E" w14:textId="77777777" w:rsidR="00E14A1A" w:rsidRDefault="00E14A1A" w:rsidP="00895671">
      <w:pPr>
        <w:rPr>
          <w:lang w:val="cs-CZ"/>
        </w:rPr>
      </w:pPr>
    </w:p>
    <w:p w14:paraId="28C2EDA6" w14:textId="77777777" w:rsidR="00E14A1A" w:rsidRDefault="00E14A1A" w:rsidP="00895671">
      <w:pPr>
        <w:rPr>
          <w:lang w:val="cs-CZ"/>
        </w:rPr>
      </w:pPr>
    </w:p>
    <w:p w14:paraId="5923CBF3" w14:textId="77777777" w:rsidR="00E14A1A" w:rsidRDefault="00E14A1A" w:rsidP="00895671">
      <w:pPr>
        <w:rPr>
          <w:lang w:val="cs-CZ"/>
        </w:rPr>
      </w:pPr>
    </w:p>
    <w:p w14:paraId="4D541087" w14:textId="77777777" w:rsidR="00E14A1A" w:rsidRDefault="00E14A1A" w:rsidP="00895671">
      <w:pPr>
        <w:rPr>
          <w:lang w:val="cs-CZ"/>
        </w:rPr>
      </w:pPr>
    </w:p>
    <w:p w14:paraId="2D0AF06C" w14:textId="77777777" w:rsidR="00E14A1A" w:rsidRDefault="00E14A1A" w:rsidP="00895671">
      <w:pPr>
        <w:rPr>
          <w:lang w:val="cs-CZ"/>
        </w:rPr>
      </w:pPr>
    </w:p>
    <w:p w14:paraId="17B62FDC" w14:textId="77777777" w:rsidR="00E14A1A" w:rsidRDefault="00E14A1A" w:rsidP="00895671">
      <w:pPr>
        <w:rPr>
          <w:lang w:val="cs-CZ"/>
        </w:rPr>
      </w:pPr>
    </w:p>
    <w:p w14:paraId="4356CF7B" w14:textId="77777777" w:rsidR="00E14A1A" w:rsidRDefault="00E14A1A" w:rsidP="00895671">
      <w:pPr>
        <w:rPr>
          <w:lang w:val="cs-CZ"/>
        </w:rPr>
      </w:pPr>
    </w:p>
    <w:p w14:paraId="7462833D" w14:textId="77777777" w:rsidR="00E14A1A" w:rsidRDefault="00E14A1A" w:rsidP="00895671">
      <w:pPr>
        <w:rPr>
          <w:lang w:val="cs-CZ"/>
        </w:rPr>
      </w:pPr>
    </w:p>
    <w:p w14:paraId="0251A809" w14:textId="77777777" w:rsidR="00E14A1A" w:rsidRDefault="00E14A1A" w:rsidP="00895671">
      <w:pPr>
        <w:rPr>
          <w:lang w:val="cs-CZ"/>
        </w:rPr>
      </w:pPr>
    </w:p>
    <w:p w14:paraId="11A811E7" w14:textId="77777777" w:rsidR="00E14A1A" w:rsidRDefault="00E14A1A" w:rsidP="00895671">
      <w:pPr>
        <w:rPr>
          <w:lang w:val="cs-CZ"/>
        </w:rPr>
      </w:pPr>
    </w:p>
    <w:p w14:paraId="5D311202" w14:textId="77777777" w:rsidR="00E14A1A" w:rsidRDefault="00E14A1A" w:rsidP="00895671">
      <w:pPr>
        <w:rPr>
          <w:lang w:val="cs-CZ"/>
        </w:rPr>
      </w:pPr>
    </w:p>
    <w:p w14:paraId="7C94D1B8" w14:textId="77777777" w:rsidR="00E14A1A" w:rsidRDefault="00E14A1A" w:rsidP="00895671">
      <w:pPr>
        <w:rPr>
          <w:lang w:val="cs-CZ"/>
        </w:rPr>
      </w:pPr>
    </w:p>
    <w:p w14:paraId="77C379F9" w14:textId="77777777" w:rsidR="00E14A1A" w:rsidRDefault="00E14A1A" w:rsidP="00895671">
      <w:pPr>
        <w:rPr>
          <w:lang w:val="cs-CZ"/>
        </w:rPr>
      </w:pPr>
    </w:p>
    <w:p w14:paraId="212B3900" w14:textId="77777777" w:rsidR="00E14A1A" w:rsidRPr="00895671" w:rsidRDefault="00E14A1A" w:rsidP="00895671">
      <w:pPr>
        <w:rPr>
          <w:lang w:val="cs-CZ"/>
        </w:rPr>
      </w:pPr>
    </w:p>
    <w:p w14:paraId="0EBE65A4" w14:textId="77777777" w:rsidR="00E14A1A" w:rsidRDefault="0061432D" w:rsidP="00E14A1A">
      <w:pPr>
        <w:pStyle w:val="Nadpis2"/>
      </w:pPr>
      <w:r w:rsidRPr="00AE1878">
        <w:lastRenderedPageBreak/>
        <w:t xml:space="preserve">MODUL </w:t>
      </w:r>
      <w:bookmarkStart w:id="8" w:name="_Toc5133496"/>
      <w:bookmarkStart w:id="9" w:name="_Toc6493949"/>
      <w:bookmarkStart w:id="10" w:name="_Toc7772761"/>
      <w:bookmarkStart w:id="11" w:name="_Toc9420174"/>
      <w:r w:rsidR="00F7449B" w:rsidRPr="00AE1878">
        <w:t>4 VIABILITA</w:t>
      </w:r>
      <w:bookmarkStart w:id="12" w:name="_Toc13829022"/>
      <w:bookmarkEnd w:id="4"/>
      <w:bookmarkEnd w:id="5"/>
      <w:bookmarkEnd w:id="6"/>
      <w:bookmarkEnd w:id="7"/>
      <w:bookmarkEnd w:id="8"/>
      <w:bookmarkEnd w:id="9"/>
      <w:bookmarkEnd w:id="10"/>
      <w:bookmarkEnd w:id="11"/>
    </w:p>
    <w:p w14:paraId="5AFFBE73" w14:textId="77777777" w:rsidR="00E14A1A" w:rsidRPr="00E14A1A" w:rsidRDefault="00E14A1A" w:rsidP="00E14A1A">
      <w:pPr>
        <w:rPr>
          <w:lang w:val="cs-CZ"/>
        </w:rPr>
      </w:pPr>
    </w:p>
    <w:p w14:paraId="27B8A686" w14:textId="394DFD87" w:rsidR="008D0FCF" w:rsidRPr="007924D6" w:rsidRDefault="008D0FCF" w:rsidP="00E14A1A">
      <w:pPr>
        <w:pStyle w:val="Nadpis3"/>
      </w:pPr>
      <w:r w:rsidRPr="008D0FCF">
        <w:t>ORGANIZACE, ŘÍZENÍ A PODPORA VAVAI</w:t>
      </w:r>
      <w:bookmarkEnd w:id="12"/>
      <w:r w:rsidRPr="008D0FCF">
        <w:t xml:space="preserve"> </w:t>
      </w:r>
    </w:p>
    <w:p w14:paraId="6F7CFDAC" w14:textId="77777777" w:rsidR="00AC0C08" w:rsidRDefault="00AC0C08" w:rsidP="00AC0C08">
      <w:pPr>
        <w:jc w:val="both"/>
        <w:rPr>
          <w:b/>
          <w:lang w:val="cs-CZ"/>
        </w:rPr>
      </w:pPr>
    </w:p>
    <w:tbl>
      <w:tblPr>
        <w:tblStyle w:val="Mkatabulky"/>
        <w:tblW w:w="9209" w:type="dxa"/>
        <w:tblLook w:val="04A0" w:firstRow="1" w:lastRow="0" w:firstColumn="1" w:lastColumn="0" w:noHBand="0" w:noVBand="1"/>
      </w:tblPr>
      <w:tblGrid>
        <w:gridCol w:w="9209"/>
      </w:tblGrid>
      <w:tr w:rsidR="00AC0C08" w14:paraId="4183D0E0" w14:textId="77777777" w:rsidTr="000E332E">
        <w:tc>
          <w:tcPr>
            <w:tcW w:w="9209" w:type="dxa"/>
          </w:tcPr>
          <w:p w14:paraId="5BBE3F01" w14:textId="77777777" w:rsidR="00AC0C08" w:rsidRPr="005F7675" w:rsidRDefault="00AC0C08" w:rsidP="00AC0C08">
            <w:pPr>
              <w:shd w:val="clear" w:color="auto" w:fill="90BDC5"/>
              <w:jc w:val="both"/>
              <w:rPr>
                <w:b/>
              </w:rPr>
            </w:pPr>
            <w:r w:rsidRPr="00375A49">
              <w:rPr>
                <w:b/>
              </w:rPr>
              <w:t xml:space="preserve">4.1 Organizace a řízení </w:t>
            </w:r>
            <w:r>
              <w:rPr>
                <w:b/>
              </w:rPr>
              <w:t>VaVaI</w:t>
            </w:r>
            <w:r w:rsidRPr="005F7675">
              <w:rPr>
                <w:b/>
              </w:rPr>
              <w:t xml:space="preserve">  </w:t>
            </w:r>
          </w:p>
          <w:p w14:paraId="2479BB80" w14:textId="77777777" w:rsidR="00AC0C08" w:rsidRPr="000D5252" w:rsidRDefault="00AC0C08" w:rsidP="00AC0C08">
            <w:pPr>
              <w:jc w:val="both"/>
              <w:rPr>
                <w:color w:val="808080" w:themeColor="background1" w:themeShade="80"/>
              </w:rPr>
            </w:pPr>
            <w:r w:rsidRPr="000D5252">
              <w:rPr>
                <w:color w:val="808080" w:themeColor="background1" w:themeShade="80"/>
              </w:rPr>
              <w:t xml:space="preserve">Vysoká škola stručně popíše systém řízení a organizační strukturu VaVaI s důrazem na následující podtémata: </w:t>
            </w:r>
          </w:p>
          <w:p w14:paraId="6D1AD565" w14:textId="77777777" w:rsidR="00AC0C08" w:rsidRPr="000D5252" w:rsidRDefault="00AC0C08" w:rsidP="000E23E0">
            <w:pPr>
              <w:numPr>
                <w:ilvl w:val="0"/>
                <w:numId w:val="1"/>
              </w:numPr>
              <w:jc w:val="both"/>
              <w:rPr>
                <w:color w:val="808080" w:themeColor="background1" w:themeShade="80"/>
              </w:rPr>
            </w:pPr>
            <w:r w:rsidRPr="000D5252">
              <w:rPr>
                <w:color w:val="808080" w:themeColor="background1" w:themeShade="80"/>
              </w:rPr>
              <w:t>úloha rektorátu, děkanátu a vedení vysokoškolských ústavů v organizaci a řízení VaVaI,</w:t>
            </w:r>
          </w:p>
          <w:p w14:paraId="397970DD" w14:textId="77777777" w:rsidR="00AC0C08" w:rsidRPr="000D5252" w:rsidRDefault="00AC0C08" w:rsidP="000E23E0">
            <w:pPr>
              <w:numPr>
                <w:ilvl w:val="0"/>
                <w:numId w:val="1"/>
              </w:numPr>
              <w:jc w:val="both"/>
              <w:rPr>
                <w:color w:val="808080" w:themeColor="background1" w:themeShade="80"/>
              </w:rPr>
            </w:pPr>
            <w:r w:rsidRPr="000D5252">
              <w:rPr>
                <w:color w:val="808080" w:themeColor="background1" w:themeShade="80"/>
              </w:rPr>
              <w:t>zapojení mezinárodních vědeckých rad nebo jiných nezávislých poradních orgánů (pokud existují),</w:t>
            </w:r>
          </w:p>
          <w:p w14:paraId="02EB9ACA" w14:textId="77777777" w:rsidR="00AC0C08" w:rsidRPr="000D5252" w:rsidRDefault="00AC0C08" w:rsidP="000E23E0">
            <w:pPr>
              <w:numPr>
                <w:ilvl w:val="0"/>
                <w:numId w:val="1"/>
              </w:numPr>
              <w:jc w:val="both"/>
              <w:rPr>
                <w:color w:val="808080" w:themeColor="background1" w:themeShade="80"/>
              </w:rPr>
            </w:pPr>
            <w:r w:rsidRPr="000D5252">
              <w:rPr>
                <w:color w:val="808080" w:themeColor="background1" w:themeShade="80"/>
              </w:rPr>
              <w:t>organizační struktura vysoké školy v souvislosti s VaVaI (např. vnitřní členění ústavů a kateder na výzkumné nebo projektové týmy, existuje-li takové členění; mezioborová výzkumná centra atd.),</w:t>
            </w:r>
          </w:p>
          <w:p w14:paraId="239DFC52" w14:textId="77777777" w:rsidR="00AC0C08" w:rsidRPr="000D5252" w:rsidRDefault="00AC0C08" w:rsidP="000E23E0">
            <w:pPr>
              <w:numPr>
                <w:ilvl w:val="0"/>
                <w:numId w:val="1"/>
              </w:numPr>
              <w:jc w:val="both"/>
              <w:rPr>
                <w:color w:val="808080" w:themeColor="background1" w:themeShade="80"/>
              </w:rPr>
            </w:pPr>
            <w:r w:rsidRPr="000D5252">
              <w:rPr>
                <w:color w:val="808080" w:themeColor="background1" w:themeShade="80"/>
              </w:rPr>
              <w:t>k rámcové informaci o odměňování na vysoké škole se uvede do přílohy příslušný vnitřní předpis.</w:t>
            </w:r>
          </w:p>
          <w:p w14:paraId="41179A36" w14:textId="1938B876" w:rsidR="00AC0C08" w:rsidRPr="0096628E" w:rsidRDefault="00AC0C08" w:rsidP="00AC0C08">
            <w:pPr>
              <w:jc w:val="both"/>
              <w:rPr>
                <w:i/>
              </w:rPr>
            </w:pPr>
            <w:r w:rsidRPr="000D5252">
              <w:rPr>
                <w:color w:val="808080" w:themeColor="background1" w:themeShade="80"/>
              </w:rPr>
              <w:t>Dále stručně okomentuje údaje o počtu a struktuře pracovníků</w:t>
            </w:r>
            <w:r w:rsidR="006603CF">
              <w:rPr>
                <w:rStyle w:val="Znakapoznpodarou"/>
                <w:color w:val="808080" w:themeColor="background1" w:themeShade="80"/>
              </w:rPr>
              <w:footnoteReference w:id="1"/>
            </w:r>
            <w:r w:rsidRPr="000D5252">
              <w:rPr>
                <w:color w:val="808080" w:themeColor="background1" w:themeShade="80"/>
              </w:rPr>
              <w:t xml:space="preserve"> podílejících se na vysoké škole na VaVaI z tab. 4.1.1 a 4.1.2.</w:t>
            </w:r>
          </w:p>
        </w:tc>
      </w:tr>
    </w:tbl>
    <w:p w14:paraId="78F0F13F" w14:textId="77777777" w:rsidR="00AC0C08" w:rsidRPr="005973EB" w:rsidRDefault="00AC0C08" w:rsidP="00AC0C08">
      <w:pPr>
        <w:jc w:val="both"/>
        <w:rPr>
          <w:rFonts w:cstheme="minorHAnsi"/>
          <w:b/>
          <w:sz w:val="20"/>
          <w:szCs w:val="20"/>
          <w:lang w:val="cs-CZ"/>
        </w:rPr>
      </w:pPr>
    </w:p>
    <w:tbl>
      <w:tblPr>
        <w:tblStyle w:val="Mkatabulky"/>
        <w:tblW w:w="0" w:type="auto"/>
        <w:tblLook w:val="04A0" w:firstRow="1" w:lastRow="0" w:firstColumn="1" w:lastColumn="0" w:noHBand="0" w:noVBand="1"/>
      </w:tblPr>
      <w:tblGrid>
        <w:gridCol w:w="9209"/>
      </w:tblGrid>
      <w:tr w:rsidR="00AC0C08" w14:paraId="7505B8A1" w14:textId="77777777" w:rsidTr="000E332E">
        <w:tc>
          <w:tcPr>
            <w:tcW w:w="9209" w:type="dxa"/>
          </w:tcPr>
          <w:p w14:paraId="4E63EFDA" w14:textId="77777777" w:rsidR="00AC0C08" w:rsidRDefault="00AC0C08" w:rsidP="000E332E">
            <w:pPr>
              <w:jc w:val="both"/>
              <w:rPr>
                <w:rFonts w:cstheme="minorHAnsi"/>
                <w:b/>
              </w:rPr>
            </w:pPr>
            <w:r>
              <w:rPr>
                <w:rFonts w:cstheme="minorHAnsi"/>
                <w:b/>
              </w:rPr>
              <w:t>S</w:t>
            </w:r>
            <w:r w:rsidRPr="005973EB">
              <w:rPr>
                <w:rFonts w:cstheme="minorHAnsi"/>
                <w:b/>
              </w:rPr>
              <w:t>ebehodnocení:</w:t>
            </w:r>
          </w:p>
          <w:p w14:paraId="6AF562AC" w14:textId="77777777" w:rsidR="00AC0C08" w:rsidRDefault="00AC0C08" w:rsidP="000E332E">
            <w:pPr>
              <w:jc w:val="both"/>
              <w:rPr>
                <w:rFonts w:cstheme="minorHAnsi"/>
                <w:b/>
              </w:rPr>
            </w:pPr>
          </w:p>
          <w:p w14:paraId="62D75093" w14:textId="77777777" w:rsidR="00AC0C08" w:rsidRDefault="00AC0C08" w:rsidP="000E332E">
            <w:pPr>
              <w:jc w:val="both"/>
              <w:rPr>
                <w:rFonts w:cstheme="minorHAnsi"/>
                <w:b/>
              </w:rPr>
            </w:pPr>
          </w:p>
          <w:p w14:paraId="793B0D69" w14:textId="77777777" w:rsidR="00AC0C08" w:rsidRDefault="00AC0C08" w:rsidP="000E332E">
            <w:pPr>
              <w:jc w:val="both"/>
              <w:rPr>
                <w:rFonts w:cstheme="minorHAnsi"/>
                <w:b/>
              </w:rPr>
            </w:pPr>
          </w:p>
          <w:p w14:paraId="697E7891" w14:textId="77777777" w:rsidR="00AC0C08" w:rsidRDefault="00AC0C08" w:rsidP="000E332E">
            <w:pPr>
              <w:jc w:val="both"/>
              <w:rPr>
                <w:rFonts w:cstheme="minorHAnsi"/>
                <w:b/>
              </w:rPr>
            </w:pPr>
          </w:p>
          <w:p w14:paraId="33E44398" w14:textId="77777777" w:rsidR="00AC0C08" w:rsidRDefault="00AC0C08" w:rsidP="000E332E">
            <w:pPr>
              <w:jc w:val="both"/>
              <w:rPr>
                <w:rFonts w:cstheme="minorHAnsi"/>
                <w:b/>
              </w:rPr>
            </w:pPr>
          </w:p>
          <w:p w14:paraId="5701EDCB" w14:textId="77777777" w:rsidR="00AC0C08" w:rsidRPr="005973EB" w:rsidRDefault="00AC0C08" w:rsidP="000E332E">
            <w:pPr>
              <w:jc w:val="both"/>
              <w:rPr>
                <w:rFonts w:cstheme="minorHAnsi"/>
                <w:b/>
              </w:rPr>
            </w:pPr>
          </w:p>
          <w:p w14:paraId="000C5AD8" w14:textId="77777777" w:rsidR="00AC0C08" w:rsidRDefault="00AC0C08" w:rsidP="000E332E">
            <w:pPr>
              <w:jc w:val="both"/>
              <w:rPr>
                <w:rFonts w:cstheme="minorHAnsi"/>
                <w:b/>
              </w:rPr>
            </w:pPr>
          </w:p>
        </w:tc>
      </w:tr>
    </w:tbl>
    <w:p w14:paraId="7788E01D" w14:textId="77777777" w:rsidR="00AC0C08" w:rsidRDefault="00AC0C08" w:rsidP="00AC0C08">
      <w:pPr>
        <w:rPr>
          <w:rFonts w:cstheme="minorHAnsi"/>
          <w:b/>
          <w:lang w:val="cs-CZ"/>
        </w:rPr>
      </w:pPr>
    </w:p>
    <w:p w14:paraId="590AA81A" w14:textId="77777777" w:rsidR="00AC0C08" w:rsidRPr="0097716B" w:rsidRDefault="00AC0C08" w:rsidP="00AC0C08">
      <w:pPr>
        <w:jc w:val="both"/>
        <w:rPr>
          <w:rFonts w:cstheme="minorHAnsi"/>
          <w:b/>
          <w:sz w:val="22"/>
          <w:szCs w:val="22"/>
          <w:lang w:val="cs-CZ"/>
        </w:rPr>
      </w:pPr>
      <w:r w:rsidRPr="0097716B">
        <w:rPr>
          <w:rFonts w:cstheme="minorHAnsi"/>
          <w:b/>
          <w:sz w:val="22"/>
          <w:szCs w:val="22"/>
          <w:lang w:val="cs-CZ"/>
        </w:rPr>
        <w:t>Odkazy v HTML na podpůrné dokumenty:</w:t>
      </w:r>
    </w:p>
    <w:p w14:paraId="7237592B" w14:textId="0E992E6A" w:rsidR="008D0FCF" w:rsidRDefault="008D0FCF" w:rsidP="00AC0C08">
      <w:pPr>
        <w:jc w:val="both"/>
        <w:rPr>
          <w:rFonts w:cstheme="minorHAnsi"/>
          <w:b/>
          <w:sz w:val="22"/>
          <w:szCs w:val="22"/>
          <w:lang w:val="cs-CZ"/>
        </w:rPr>
      </w:pPr>
    </w:p>
    <w:p w14:paraId="4770D723" w14:textId="77777777" w:rsidR="00AC0C08" w:rsidRDefault="00AC0C08" w:rsidP="00AC0C08">
      <w:pPr>
        <w:jc w:val="both"/>
        <w:rPr>
          <w:rFonts w:cstheme="minorHAnsi"/>
          <w:b/>
          <w:sz w:val="22"/>
          <w:szCs w:val="22"/>
          <w:lang w:val="cs-CZ"/>
        </w:rPr>
      </w:pPr>
    </w:p>
    <w:p w14:paraId="4EFA2983" w14:textId="77777777" w:rsidR="00AC0C08" w:rsidRDefault="00AC0C08" w:rsidP="00AC0C08">
      <w:pPr>
        <w:jc w:val="both"/>
        <w:rPr>
          <w:rFonts w:cstheme="minorHAnsi"/>
          <w:b/>
          <w:sz w:val="22"/>
          <w:szCs w:val="22"/>
          <w:lang w:val="cs-CZ"/>
        </w:rPr>
      </w:pPr>
    </w:p>
    <w:p w14:paraId="6E177196" w14:textId="77777777" w:rsidR="00AC0C08" w:rsidRPr="00AC0C08" w:rsidRDefault="00AC0C08" w:rsidP="00AC0C08">
      <w:pPr>
        <w:jc w:val="both"/>
        <w:rPr>
          <w:rFonts w:cstheme="minorHAnsi"/>
          <w:b/>
          <w:sz w:val="22"/>
          <w:szCs w:val="22"/>
          <w:lang w:val="cs-CZ"/>
        </w:rPr>
      </w:pPr>
    </w:p>
    <w:tbl>
      <w:tblPr>
        <w:tblStyle w:val="Mkatabulky"/>
        <w:tblW w:w="9209" w:type="dxa"/>
        <w:tblLook w:val="04A0" w:firstRow="1" w:lastRow="0" w:firstColumn="1" w:lastColumn="0" w:noHBand="0" w:noVBand="1"/>
      </w:tblPr>
      <w:tblGrid>
        <w:gridCol w:w="9209"/>
      </w:tblGrid>
      <w:tr w:rsidR="00AC0C08" w14:paraId="364218CB" w14:textId="77777777" w:rsidTr="000E332E">
        <w:tc>
          <w:tcPr>
            <w:tcW w:w="9209" w:type="dxa"/>
          </w:tcPr>
          <w:p w14:paraId="514B9A51" w14:textId="77777777" w:rsidR="00AC0C08" w:rsidRPr="005F7675" w:rsidRDefault="00AC0C08" w:rsidP="000E332E">
            <w:pPr>
              <w:shd w:val="clear" w:color="auto" w:fill="90BDC5"/>
              <w:jc w:val="both"/>
              <w:rPr>
                <w:b/>
              </w:rPr>
            </w:pPr>
            <w:r w:rsidRPr="00375A49">
              <w:rPr>
                <w:b/>
              </w:rPr>
              <w:t xml:space="preserve">4.2 Systém podpory </w:t>
            </w:r>
            <w:r>
              <w:rPr>
                <w:b/>
              </w:rPr>
              <w:t>VaVaI</w:t>
            </w:r>
            <w:r w:rsidRPr="00375A49">
              <w:rPr>
                <w:b/>
              </w:rPr>
              <w:t xml:space="preserve"> a stimulační opatření pro </w:t>
            </w:r>
            <w:r>
              <w:rPr>
                <w:b/>
              </w:rPr>
              <w:t>kvalitní</w:t>
            </w:r>
            <w:r w:rsidRPr="00375A49">
              <w:rPr>
                <w:b/>
              </w:rPr>
              <w:t xml:space="preserve"> vědu</w:t>
            </w:r>
            <w:r w:rsidRPr="005F7675">
              <w:rPr>
                <w:b/>
              </w:rPr>
              <w:t xml:space="preserve">  </w:t>
            </w:r>
          </w:p>
          <w:p w14:paraId="5C6BFFD3" w14:textId="77777777" w:rsidR="00AC0C08" w:rsidRPr="0096628E" w:rsidRDefault="00AC0C08" w:rsidP="000E332E">
            <w:pPr>
              <w:jc w:val="both"/>
              <w:rPr>
                <w:i/>
              </w:rPr>
            </w:pPr>
            <w:r w:rsidRPr="0096628E">
              <w:rPr>
                <w:color w:val="808080" w:themeColor="background1" w:themeShade="80"/>
              </w:rPr>
              <w:t>Vysoká škola stručně popíše systémová stimulační opatření / nástroje pro podporu kvalitního VaVaI (pokud existují). Lze referovat formou bodového výčtu na úrovni vysoké školy.</w:t>
            </w:r>
          </w:p>
        </w:tc>
      </w:tr>
    </w:tbl>
    <w:p w14:paraId="20BE071A" w14:textId="77777777" w:rsidR="00AC0C08" w:rsidRPr="005973EB" w:rsidRDefault="00AC0C08" w:rsidP="00AC0C08">
      <w:pPr>
        <w:jc w:val="both"/>
        <w:rPr>
          <w:rFonts w:cstheme="minorHAnsi"/>
          <w:b/>
          <w:sz w:val="20"/>
          <w:szCs w:val="20"/>
          <w:lang w:val="cs-CZ"/>
        </w:rPr>
      </w:pPr>
    </w:p>
    <w:tbl>
      <w:tblPr>
        <w:tblStyle w:val="Mkatabulky"/>
        <w:tblW w:w="0" w:type="auto"/>
        <w:tblLook w:val="04A0" w:firstRow="1" w:lastRow="0" w:firstColumn="1" w:lastColumn="0" w:noHBand="0" w:noVBand="1"/>
      </w:tblPr>
      <w:tblGrid>
        <w:gridCol w:w="9209"/>
      </w:tblGrid>
      <w:tr w:rsidR="00AC0C08" w14:paraId="3F70A74C" w14:textId="77777777" w:rsidTr="000E332E">
        <w:tc>
          <w:tcPr>
            <w:tcW w:w="9209" w:type="dxa"/>
          </w:tcPr>
          <w:p w14:paraId="352344BE" w14:textId="77777777" w:rsidR="00AC0C08" w:rsidRDefault="00AC0C08" w:rsidP="000E332E">
            <w:pPr>
              <w:jc w:val="both"/>
              <w:rPr>
                <w:rFonts w:cstheme="minorHAnsi"/>
                <w:b/>
              </w:rPr>
            </w:pPr>
            <w:r>
              <w:rPr>
                <w:rFonts w:cstheme="minorHAnsi"/>
                <w:b/>
              </w:rPr>
              <w:t>S</w:t>
            </w:r>
            <w:r w:rsidRPr="005973EB">
              <w:rPr>
                <w:rFonts w:cstheme="minorHAnsi"/>
                <w:b/>
              </w:rPr>
              <w:t>ebehodnocení:</w:t>
            </w:r>
          </w:p>
          <w:p w14:paraId="2510EDC3" w14:textId="77777777" w:rsidR="00AC0C08" w:rsidRDefault="00AC0C08" w:rsidP="000E332E">
            <w:pPr>
              <w:jc w:val="both"/>
              <w:rPr>
                <w:rFonts w:cstheme="minorHAnsi"/>
                <w:b/>
              </w:rPr>
            </w:pPr>
          </w:p>
          <w:p w14:paraId="157E2949" w14:textId="77777777" w:rsidR="00AC0C08" w:rsidRDefault="00AC0C08" w:rsidP="000E332E">
            <w:pPr>
              <w:jc w:val="both"/>
              <w:rPr>
                <w:rFonts w:cstheme="minorHAnsi"/>
                <w:b/>
              </w:rPr>
            </w:pPr>
          </w:p>
          <w:p w14:paraId="24028806" w14:textId="77777777" w:rsidR="00AC0C08" w:rsidRDefault="00AC0C08" w:rsidP="000E332E">
            <w:pPr>
              <w:jc w:val="both"/>
              <w:rPr>
                <w:rFonts w:cstheme="minorHAnsi"/>
                <w:b/>
              </w:rPr>
            </w:pPr>
          </w:p>
          <w:p w14:paraId="102911FE" w14:textId="77777777" w:rsidR="00AC0C08" w:rsidRDefault="00AC0C08" w:rsidP="000E332E">
            <w:pPr>
              <w:jc w:val="both"/>
              <w:rPr>
                <w:rFonts w:cstheme="minorHAnsi"/>
                <w:b/>
              </w:rPr>
            </w:pPr>
          </w:p>
          <w:p w14:paraId="12A3FF83" w14:textId="77777777" w:rsidR="00AC0C08" w:rsidRDefault="00AC0C08" w:rsidP="000E332E">
            <w:pPr>
              <w:jc w:val="both"/>
              <w:rPr>
                <w:rFonts w:cstheme="minorHAnsi"/>
                <w:b/>
              </w:rPr>
            </w:pPr>
          </w:p>
          <w:p w14:paraId="388E0DF2" w14:textId="77777777" w:rsidR="00AC0C08" w:rsidRPr="005973EB" w:rsidRDefault="00AC0C08" w:rsidP="000E332E">
            <w:pPr>
              <w:jc w:val="both"/>
              <w:rPr>
                <w:rFonts w:cstheme="minorHAnsi"/>
                <w:b/>
              </w:rPr>
            </w:pPr>
          </w:p>
          <w:p w14:paraId="3CB9D016" w14:textId="77777777" w:rsidR="00AC0C08" w:rsidRDefault="00AC0C08" w:rsidP="000E332E">
            <w:pPr>
              <w:jc w:val="both"/>
              <w:rPr>
                <w:rFonts w:cstheme="minorHAnsi"/>
                <w:b/>
              </w:rPr>
            </w:pPr>
          </w:p>
        </w:tc>
      </w:tr>
    </w:tbl>
    <w:p w14:paraId="5FCED723" w14:textId="77777777" w:rsidR="00AC0C08" w:rsidRDefault="00AC0C08" w:rsidP="00AC0C08">
      <w:pPr>
        <w:rPr>
          <w:rFonts w:cstheme="minorHAnsi"/>
          <w:b/>
          <w:lang w:val="cs-CZ"/>
        </w:rPr>
      </w:pPr>
    </w:p>
    <w:p w14:paraId="5064C733" w14:textId="452AD6E0" w:rsidR="008D0FCF" w:rsidRPr="00DE4AB9" w:rsidRDefault="00AC0C08" w:rsidP="008D0FCF">
      <w:pPr>
        <w:jc w:val="both"/>
        <w:rPr>
          <w:rFonts w:cstheme="minorHAnsi"/>
          <w:b/>
          <w:sz w:val="22"/>
          <w:szCs w:val="22"/>
          <w:lang w:val="cs-CZ"/>
        </w:rPr>
      </w:pPr>
      <w:r w:rsidRPr="0097716B">
        <w:rPr>
          <w:rFonts w:cstheme="minorHAnsi"/>
          <w:b/>
          <w:sz w:val="22"/>
          <w:szCs w:val="22"/>
          <w:lang w:val="cs-CZ"/>
        </w:rPr>
        <w:t>Odkazy v HTML na podpůrné dokumenty:</w:t>
      </w:r>
    </w:p>
    <w:p w14:paraId="55E8AC0D" w14:textId="77777777" w:rsidR="00AC0C08" w:rsidRDefault="00AC0C08" w:rsidP="008D0FCF">
      <w:pPr>
        <w:jc w:val="both"/>
        <w:rPr>
          <w:b/>
          <w:lang w:val="cs-CZ"/>
        </w:rPr>
      </w:pPr>
    </w:p>
    <w:tbl>
      <w:tblPr>
        <w:tblStyle w:val="Mkatabulky"/>
        <w:tblW w:w="9209" w:type="dxa"/>
        <w:tblLook w:val="04A0" w:firstRow="1" w:lastRow="0" w:firstColumn="1" w:lastColumn="0" w:noHBand="0" w:noVBand="1"/>
      </w:tblPr>
      <w:tblGrid>
        <w:gridCol w:w="9209"/>
      </w:tblGrid>
      <w:tr w:rsidR="008D0FCF" w14:paraId="238FC573" w14:textId="77777777" w:rsidTr="008D0FCF">
        <w:tc>
          <w:tcPr>
            <w:tcW w:w="9209" w:type="dxa"/>
          </w:tcPr>
          <w:p w14:paraId="7E20E2B9" w14:textId="77777777" w:rsidR="008D0FCF" w:rsidRPr="00BC0670" w:rsidRDefault="008D0FCF" w:rsidP="00BC0670">
            <w:pPr>
              <w:shd w:val="clear" w:color="auto" w:fill="90BDC5"/>
              <w:jc w:val="both"/>
              <w:rPr>
                <w:b/>
              </w:rPr>
            </w:pPr>
            <w:r w:rsidRPr="00BC0670">
              <w:rPr>
                <w:b/>
              </w:rPr>
              <w:lastRenderedPageBreak/>
              <w:t xml:space="preserve">4.3 Institucionální pravidla využití institucionální podpory na DKRVO </w:t>
            </w:r>
          </w:p>
          <w:p w14:paraId="28F3945F" w14:textId="7EFAA3A4" w:rsidR="008D0FCF" w:rsidRPr="0096628E" w:rsidRDefault="0096628E" w:rsidP="008D0FCF">
            <w:pPr>
              <w:jc w:val="both"/>
              <w:rPr>
                <w:i/>
              </w:rPr>
            </w:pPr>
            <w:r w:rsidRPr="0096628E">
              <w:rPr>
                <w:color w:val="808080" w:themeColor="background1" w:themeShade="80"/>
              </w:rPr>
              <w:t xml:space="preserve">Vysoká škola popíše strategii využití institucionální podpory na DKRVO v řízení institucionálně podporované výzkumné činnosti (např. </w:t>
            </w:r>
            <w:proofErr w:type="spellStart"/>
            <w:r w:rsidRPr="0096628E">
              <w:rPr>
                <w:color w:val="808080" w:themeColor="background1" w:themeShade="80"/>
              </w:rPr>
              <w:t>prioritizace</w:t>
            </w:r>
            <w:proofErr w:type="spellEnd"/>
            <w:r w:rsidRPr="0096628E">
              <w:rPr>
                <w:color w:val="808080" w:themeColor="background1" w:themeShade="80"/>
              </w:rPr>
              <w:t xml:space="preserve"> výzkumných témat vysoké školy dle individuálních potřeb, interní grantové agentury, motivační nástroje) a způsob rozdělování institucionální podpory na jednotlivá pracoviště / výzkumné týmy za hodnocené období 2014 až 2018.</w:t>
            </w:r>
          </w:p>
        </w:tc>
      </w:tr>
    </w:tbl>
    <w:p w14:paraId="1DB39F1A" w14:textId="77777777" w:rsidR="00D862D3" w:rsidRPr="005973EB" w:rsidRDefault="00D862D3" w:rsidP="00D862D3">
      <w:pPr>
        <w:jc w:val="both"/>
        <w:rPr>
          <w:rFonts w:cstheme="minorHAnsi"/>
          <w:b/>
          <w:sz w:val="20"/>
          <w:szCs w:val="20"/>
          <w:lang w:val="cs-CZ"/>
        </w:rPr>
      </w:pPr>
    </w:p>
    <w:tbl>
      <w:tblPr>
        <w:tblStyle w:val="Mkatabulky"/>
        <w:tblW w:w="0" w:type="auto"/>
        <w:tblLook w:val="04A0" w:firstRow="1" w:lastRow="0" w:firstColumn="1" w:lastColumn="0" w:noHBand="0" w:noVBand="1"/>
      </w:tblPr>
      <w:tblGrid>
        <w:gridCol w:w="9209"/>
      </w:tblGrid>
      <w:tr w:rsidR="00D862D3" w14:paraId="0141341B" w14:textId="77777777" w:rsidTr="00892563">
        <w:tc>
          <w:tcPr>
            <w:tcW w:w="9209" w:type="dxa"/>
          </w:tcPr>
          <w:p w14:paraId="0EEB5CC0" w14:textId="77777777" w:rsidR="00D862D3" w:rsidRDefault="00D862D3" w:rsidP="00892563">
            <w:pPr>
              <w:jc w:val="both"/>
              <w:rPr>
                <w:rFonts w:cstheme="minorHAnsi"/>
                <w:b/>
              </w:rPr>
            </w:pPr>
            <w:r>
              <w:rPr>
                <w:rFonts w:cstheme="minorHAnsi"/>
                <w:b/>
              </w:rPr>
              <w:t>S</w:t>
            </w:r>
            <w:r w:rsidRPr="005973EB">
              <w:rPr>
                <w:rFonts w:cstheme="minorHAnsi"/>
                <w:b/>
              </w:rPr>
              <w:t>ebehodnocení:</w:t>
            </w:r>
          </w:p>
          <w:p w14:paraId="7651DCFB" w14:textId="77777777" w:rsidR="00D862D3" w:rsidRDefault="00D862D3" w:rsidP="00892563">
            <w:pPr>
              <w:jc w:val="both"/>
              <w:rPr>
                <w:rFonts w:cstheme="minorHAnsi"/>
                <w:b/>
              </w:rPr>
            </w:pPr>
          </w:p>
          <w:p w14:paraId="3D9781F8" w14:textId="77777777" w:rsidR="00D862D3" w:rsidRDefault="00D862D3" w:rsidP="00892563">
            <w:pPr>
              <w:jc w:val="both"/>
              <w:rPr>
                <w:rFonts w:cstheme="minorHAnsi"/>
                <w:b/>
              </w:rPr>
            </w:pPr>
          </w:p>
          <w:p w14:paraId="7861D970" w14:textId="77777777" w:rsidR="00D862D3" w:rsidRDefault="00D862D3" w:rsidP="00892563">
            <w:pPr>
              <w:jc w:val="both"/>
              <w:rPr>
                <w:rFonts w:cstheme="minorHAnsi"/>
                <w:b/>
              </w:rPr>
            </w:pPr>
          </w:p>
          <w:p w14:paraId="5CDF8F6D" w14:textId="77777777" w:rsidR="00D862D3" w:rsidRDefault="00D862D3" w:rsidP="00892563">
            <w:pPr>
              <w:jc w:val="both"/>
              <w:rPr>
                <w:rFonts w:cstheme="minorHAnsi"/>
                <w:b/>
              </w:rPr>
            </w:pPr>
          </w:p>
          <w:p w14:paraId="078E3E9D" w14:textId="77777777" w:rsidR="00D862D3" w:rsidRDefault="00D862D3" w:rsidP="00892563">
            <w:pPr>
              <w:jc w:val="both"/>
              <w:rPr>
                <w:rFonts w:cstheme="minorHAnsi"/>
                <w:b/>
              </w:rPr>
            </w:pPr>
          </w:p>
          <w:p w14:paraId="7704C3BB" w14:textId="77777777" w:rsidR="00D862D3" w:rsidRPr="005973EB" w:rsidRDefault="00D862D3" w:rsidP="00892563">
            <w:pPr>
              <w:jc w:val="both"/>
              <w:rPr>
                <w:rFonts w:cstheme="minorHAnsi"/>
                <w:b/>
              </w:rPr>
            </w:pPr>
          </w:p>
          <w:p w14:paraId="0CD5CDB4" w14:textId="77777777" w:rsidR="00D862D3" w:rsidRDefault="00D862D3" w:rsidP="00892563">
            <w:pPr>
              <w:jc w:val="both"/>
              <w:rPr>
                <w:rFonts w:cstheme="minorHAnsi"/>
                <w:b/>
              </w:rPr>
            </w:pPr>
          </w:p>
        </w:tc>
      </w:tr>
    </w:tbl>
    <w:p w14:paraId="3D78AEC0" w14:textId="77777777" w:rsidR="00D862D3" w:rsidRDefault="00D862D3" w:rsidP="00D862D3">
      <w:pPr>
        <w:rPr>
          <w:rFonts w:cstheme="minorHAnsi"/>
          <w:b/>
          <w:lang w:val="cs-CZ"/>
        </w:rPr>
      </w:pPr>
    </w:p>
    <w:p w14:paraId="649A54B3" w14:textId="77777777" w:rsidR="002045EE" w:rsidRDefault="00D862D3" w:rsidP="00AC0C08">
      <w:pPr>
        <w:jc w:val="both"/>
        <w:rPr>
          <w:rFonts w:cstheme="minorHAnsi"/>
          <w:b/>
          <w:sz w:val="22"/>
          <w:szCs w:val="22"/>
          <w:lang w:val="cs-CZ"/>
        </w:rPr>
      </w:pPr>
      <w:r w:rsidRPr="0097716B">
        <w:rPr>
          <w:rFonts w:cstheme="minorHAnsi"/>
          <w:b/>
          <w:sz w:val="22"/>
          <w:szCs w:val="22"/>
          <w:lang w:val="cs-CZ"/>
        </w:rPr>
        <w:t>Odkazy v HTML na podpůrné dokumenty:</w:t>
      </w:r>
    </w:p>
    <w:p w14:paraId="78CD7E19" w14:textId="77777777" w:rsidR="002045EE" w:rsidRDefault="002045EE" w:rsidP="00AC0C08">
      <w:pPr>
        <w:jc w:val="both"/>
        <w:rPr>
          <w:rFonts w:cstheme="minorHAnsi"/>
          <w:b/>
          <w:sz w:val="22"/>
          <w:szCs w:val="22"/>
          <w:lang w:val="cs-CZ"/>
        </w:rPr>
      </w:pPr>
    </w:p>
    <w:p w14:paraId="7E6B752C" w14:textId="77777777" w:rsidR="002045EE" w:rsidRDefault="002045EE" w:rsidP="00AC0C08">
      <w:pPr>
        <w:jc w:val="both"/>
        <w:rPr>
          <w:rFonts w:cstheme="minorHAnsi"/>
          <w:b/>
          <w:sz w:val="22"/>
          <w:szCs w:val="22"/>
          <w:lang w:val="cs-CZ"/>
        </w:rPr>
      </w:pPr>
    </w:p>
    <w:p w14:paraId="7B7B0EFE" w14:textId="77777777" w:rsidR="002045EE" w:rsidRDefault="002045EE" w:rsidP="00AC0C08">
      <w:pPr>
        <w:jc w:val="both"/>
        <w:rPr>
          <w:rFonts w:cstheme="minorHAnsi"/>
          <w:b/>
          <w:sz w:val="22"/>
          <w:szCs w:val="22"/>
          <w:lang w:val="cs-CZ"/>
        </w:rPr>
      </w:pPr>
    </w:p>
    <w:p w14:paraId="052BD775" w14:textId="77777777" w:rsidR="00895671" w:rsidRDefault="00895671" w:rsidP="00AC0C08">
      <w:pPr>
        <w:jc w:val="both"/>
        <w:rPr>
          <w:rFonts w:cstheme="minorHAnsi"/>
          <w:b/>
          <w:sz w:val="22"/>
          <w:szCs w:val="22"/>
          <w:lang w:val="cs-CZ"/>
        </w:rPr>
      </w:pPr>
    </w:p>
    <w:tbl>
      <w:tblPr>
        <w:tblStyle w:val="Mkatabulky"/>
        <w:tblW w:w="9209" w:type="dxa"/>
        <w:tblLook w:val="04A0" w:firstRow="1" w:lastRow="0" w:firstColumn="1" w:lastColumn="0" w:noHBand="0" w:noVBand="1"/>
      </w:tblPr>
      <w:tblGrid>
        <w:gridCol w:w="9209"/>
      </w:tblGrid>
      <w:tr w:rsidR="002045EE" w14:paraId="21167ECC" w14:textId="77777777" w:rsidTr="000E332E">
        <w:tc>
          <w:tcPr>
            <w:tcW w:w="9209" w:type="dxa"/>
          </w:tcPr>
          <w:p w14:paraId="3AFB29C6" w14:textId="77777777" w:rsidR="002045EE" w:rsidRDefault="002045EE" w:rsidP="000E332E">
            <w:pPr>
              <w:shd w:val="clear" w:color="auto" w:fill="90BDC5"/>
              <w:jc w:val="both"/>
              <w:rPr>
                <w:b/>
              </w:rPr>
            </w:pPr>
            <w:r w:rsidRPr="00375A49">
              <w:rPr>
                <w:b/>
              </w:rPr>
              <w:t>4.4 Strategie zakládání, financování a dlouhodobého rozvoje a udržitelnosti výzkumných center</w:t>
            </w:r>
            <w:r>
              <w:rPr>
                <w:b/>
              </w:rPr>
              <w:t xml:space="preserve"> a velkých výzkumných infrastruktur</w:t>
            </w:r>
            <w:r w:rsidRPr="00C516B1">
              <w:rPr>
                <w:rStyle w:val="Znakapoznpodarou"/>
                <w:b/>
              </w:rPr>
              <w:footnoteReference w:id="2"/>
            </w:r>
            <w:r>
              <w:rPr>
                <w:b/>
              </w:rPr>
              <w:t xml:space="preserve"> </w:t>
            </w:r>
          </w:p>
          <w:p w14:paraId="507E6260" w14:textId="77777777" w:rsidR="002045EE" w:rsidRPr="00043DF0" w:rsidRDefault="002045EE" w:rsidP="000E332E">
            <w:pPr>
              <w:shd w:val="clear" w:color="auto" w:fill="90BDC5"/>
              <w:jc w:val="both"/>
            </w:pPr>
            <w:r w:rsidRPr="00043DF0">
              <w:t xml:space="preserve">(pokud existují)  </w:t>
            </w:r>
          </w:p>
          <w:p w14:paraId="1B90E7BA" w14:textId="77777777" w:rsidR="002045EE" w:rsidRPr="0096628E" w:rsidRDefault="002045EE" w:rsidP="000E332E">
            <w:pPr>
              <w:jc w:val="both"/>
              <w:rPr>
                <w:i/>
              </w:rPr>
            </w:pPr>
            <w:r w:rsidRPr="0096628E">
              <w:rPr>
                <w:color w:val="808080" w:themeColor="background1" w:themeShade="80"/>
              </w:rPr>
              <w:t>Vysoká škola stručně popíše svou strategii udržitelnosti a rozvoje velké výzkumné infrastruktury, je-li hostitelskou organizací takového projektu. Dále popíše svou strategii udržitelnosti a rozvoje výzkumného centra (nebo výzkumných center) vybudovaného (vybudovaných) v letech 2007 až 2015 z Evropských strukturálních fondů (operační programy Výzkum a vývoj pro inovace, Praha-Konkurenceschopnost) a v době udržitelnosti podporovaného z Národního programu udržitelnosti, je-li takové výzkumné centrum její součástí.</w:t>
            </w:r>
          </w:p>
        </w:tc>
      </w:tr>
    </w:tbl>
    <w:p w14:paraId="770B22BC" w14:textId="77777777" w:rsidR="002045EE" w:rsidRPr="005973EB" w:rsidRDefault="002045EE" w:rsidP="002045EE">
      <w:pPr>
        <w:jc w:val="both"/>
        <w:rPr>
          <w:rFonts w:cstheme="minorHAnsi"/>
          <w:b/>
          <w:sz w:val="20"/>
          <w:szCs w:val="20"/>
          <w:lang w:val="cs-CZ"/>
        </w:rPr>
      </w:pPr>
    </w:p>
    <w:tbl>
      <w:tblPr>
        <w:tblStyle w:val="Mkatabulky"/>
        <w:tblW w:w="0" w:type="auto"/>
        <w:tblLook w:val="04A0" w:firstRow="1" w:lastRow="0" w:firstColumn="1" w:lastColumn="0" w:noHBand="0" w:noVBand="1"/>
      </w:tblPr>
      <w:tblGrid>
        <w:gridCol w:w="9209"/>
      </w:tblGrid>
      <w:tr w:rsidR="002045EE" w14:paraId="73551290" w14:textId="77777777" w:rsidTr="000E332E">
        <w:tc>
          <w:tcPr>
            <w:tcW w:w="9209" w:type="dxa"/>
          </w:tcPr>
          <w:p w14:paraId="01408335" w14:textId="77777777" w:rsidR="002045EE" w:rsidRDefault="002045EE" w:rsidP="000E332E">
            <w:pPr>
              <w:jc w:val="both"/>
              <w:rPr>
                <w:rFonts w:cstheme="minorHAnsi"/>
                <w:b/>
              </w:rPr>
            </w:pPr>
            <w:r>
              <w:rPr>
                <w:rFonts w:cstheme="minorHAnsi"/>
                <w:b/>
              </w:rPr>
              <w:t>S</w:t>
            </w:r>
            <w:r w:rsidRPr="005973EB">
              <w:rPr>
                <w:rFonts w:cstheme="minorHAnsi"/>
                <w:b/>
              </w:rPr>
              <w:t>ebehodnocení:</w:t>
            </w:r>
          </w:p>
          <w:p w14:paraId="22F633F0" w14:textId="77777777" w:rsidR="002045EE" w:rsidRDefault="002045EE" w:rsidP="000E332E">
            <w:pPr>
              <w:jc w:val="both"/>
              <w:rPr>
                <w:rFonts w:cstheme="minorHAnsi"/>
                <w:b/>
              </w:rPr>
            </w:pPr>
          </w:p>
          <w:p w14:paraId="5A33540E" w14:textId="77777777" w:rsidR="002045EE" w:rsidRDefault="002045EE" w:rsidP="000E332E">
            <w:pPr>
              <w:jc w:val="both"/>
              <w:rPr>
                <w:rFonts w:cstheme="minorHAnsi"/>
                <w:b/>
              </w:rPr>
            </w:pPr>
          </w:p>
          <w:p w14:paraId="7E2C8891" w14:textId="77777777" w:rsidR="002045EE" w:rsidRDefault="002045EE" w:rsidP="000E332E">
            <w:pPr>
              <w:jc w:val="both"/>
              <w:rPr>
                <w:rFonts w:cstheme="minorHAnsi"/>
                <w:b/>
              </w:rPr>
            </w:pPr>
          </w:p>
          <w:p w14:paraId="0D80255B" w14:textId="77777777" w:rsidR="002045EE" w:rsidRDefault="002045EE" w:rsidP="000E332E">
            <w:pPr>
              <w:jc w:val="both"/>
              <w:rPr>
                <w:rFonts w:cstheme="minorHAnsi"/>
                <w:b/>
              </w:rPr>
            </w:pPr>
          </w:p>
          <w:p w14:paraId="0825BF25" w14:textId="77777777" w:rsidR="002045EE" w:rsidRDefault="002045EE" w:rsidP="000E332E">
            <w:pPr>
              <w:jc w:val="both"/>
              <w:rPr>
                <w:rFonts w:cstheme="minorHAnsi"/>
                <w:b/>
              </w:rPr>
            </w:pPr>
          </w:p>
          <w:p w14:paraId="2B22B2ED" w14:textId="77777777" w:rsidR="002045EE" w:rsidRPr="005973EB" w:rsidRDefault="002045EE" w:rsidP="000E332E">
            <w:pPr>
              <w:jc w:val="both"/>
              <w:rPr>
                <w:rFonts w:cstheme="minorHAnsi"/>
                <w:b/>
              </w:rPr>
            </w:pPr>
          </w:p>
          <w:p w14:paraId="6D3708AF" w14:textId="77777777" w:rsidR="002045EE" w:rsidRDefault="002045EE" w:rsidP="000E332E">
            <w:pPr>
              <w:jc w:val="both"/>
              <w:rPr>
                <w:rFonts w:cstheme="minorHAnsi"/>
                <w:b/>
              </w:rPr>
            </w:pPr>
          </w:p>
        </w:tc>
      </w:tr>
    </w:tbl>
    <w:p w14:paraId="21B61B38" w14:textId="77777777" w:rsidR="002045EE" w:rsidRDefault="002045EE" w:rsidP="002045EE">
      <w:pPr>
        <w:rPr>
          <w:rFonts w:cstheme="minorHAnsi"/>
          <w:b/>
          <w:lang w:val="cs-CZ"/>
        </w:rPr>
      </w:pPr>
    </w:p>
    <w:p w14:paraId="48E36CFC" w14:textId="1AD07F40" w:rsidR="008D0FCF" w:rsidRPr="002045EE" w:rsidRDefault="002045EE" w:rsidP="008D0FCF">
      <w:pPr>
        <w:jc w:val="both"/>
        <w:rPr>
          <w:rFonts w:cstheme="minorHAnsi"/>
          <w:b/>
          <w:sz w:val="22"/>
          <w:szCs w:val="22"/>
          <w:lang w:val="cs-CZ"/>
        </w:rPr>
      </w:pPr>
      <w:r w:rsidRPr="0097716B">
        <w:rPr>
          <w:rFonts w:cstheme="minorHAnsi"/>
          <w:b/>
          <w:sz w:val="22"/>
          <w:szCs w:val="22"/>
          <w:lang w:val="cs-CZ"/>
        </w:rPr>
        <w:t>Odkaz</w:t>
      </w:r>
      <w:r>
        <w:rPr>
          <w:rFonts w:cstheme="minorHAnsi"/>
          <w:b/>
          <w:sz w:val="22"/>
          <w:szCs w:val="22"/>
          <w:lang w:val="cs-CZ"/>
        </w:rPr>
        <w:t>y v HTML na podpůrné dokumenty:</w:t>
      </w:r>
    </w:p>
    <w:p w14:paraId="5AF0C8B5" w14:textId="77777777" w:rsidR="00FA683C" w:rsidRDefault="00FA683C" w:rsidP="00FA683C">
      <w:pPr>
        <w:jc w:val="both"/>
        <w:rPr>
          <w:b/>
          <w:lang w:val="cs-CZ"/>
        </w:rPr>
      </w:pPr>
    </w:p>
    <w:p w14:paraId="195980CB" w14:textId="77777777" w:rsidR="00BC0670" w:rsidRDefault="00BC0670" w:rsidP="00FA683C">
      <w:pPr>
        <w:jc w:val="both"/>
        <w:rPr>
          <w:b/>
          <w:lang w:val="cs-CZ"/>
        </w:rPr>
      </w:pPr>
    </w:p>
    <w:p w14:paraId="19AEA6A4" w14:textId="77777777" w:rsidR="00BC0670" w:rsidRDefault="00BC0670" w:rsidP="00FA683C">
      <w:pPr>
        <w:jc w:val="both"/>
        <w:rPr>
          <w:b/>
          <w:lang w:val="cs-CZ"/>
        </w:rPr>
      </w:pPr>
    </w:p>
    <w:p w14:paraId="793E98CD" w14:textId="77777777" w:rsidR="00BC0670" w:rsidRDefault="00BC0670" w:rsidP="00FA683C">
      <w:pPr>
        <w:jc w:val="both"/>
        <w:rPr>
          <w:b/>
          <w:lang w:val="cs-CZ"/>
        </w:rPr>
      </w:pPr>
    </w:p>
    <w:tbl>
      <w:tblPr>
        <w:tblStyle w:val="Mkatabulky"/>
        <w:tblW w:w="9209" w:type="dxa"/>
        <w:tblLook w:val="04A0" w:firstRow="1" w:lastRow="0" w:firstColumn="1" w:lastColumn="0" w:noHBand="0" w:noVBand="1"/>
      </w:tblPr>
      <w:tblGrid>
        <w:gridCol w:w="9209"/>
      </w:tblGrid>
      <w:tr w:rsidR="00FA683C" w14:paraId="36E43CC5" w14:textId="77777777" w:rsidTr="00F31ED7">
        <w:tc>
          <w:tcPr>
            <w:tcW w:w="9209" w:type="dxa"/>
          </w:tcPr>
          <w:p w14:paraId="4E61C734" w14:textId="54304767" w:rsidR="00FA683C" w:rsidRPr="00FA683C" w:rsidRDefault="00FA683C" w:rsidP="00BC0670">
            <w:pPr>
              <w:shd w:val="clear" w:color="auto" w:fill="90BDC5"/>
              <w:jc w:val="both"/>
              <w:rPr>
                <w:b/>
              </w:rPr>
            </w:pPr>
            <w:r w:rsidRPr="00375A49">
              <w:rPr>
                <w:b/>
              </w:rPr>
              <w:lastRenderedPageBreak/>
              <w:t>4.</w:t>
            </w:r>
            <w:r>
              <w:rPr>
                <w:b/>
              </w:rPr>
              <w:t xml:space="preserve">5 </w:t>
            </w:r>
            <w:r w:rsidRPr="00375A49">
              <w:rPr>
                <w:b/>
              </w:rPr>
              <w:t>Systém vzdělávání v oblasti ochrany duševního vlastnictví a transferu technologií</w:t>
            </w:r>
          </w:p>
          <w:p w14:paraId="1823F7C0" w14:textId="4B01781B" w:rsidR="00FA683C" w:rsidRPr="0096628E" w:rsidRDefault="0096628E" w:rsidP="00FA683C">
            <w:pPr>
              <w:jc w:val="both"/>
              <w:rPr>
                <w:i/>
              </w:rPr>
            </w:pPr>
            <w:r w:rsidRPr="0096628E">
              <w:rPr>
                <w:color w:val="808080" w:themeColor="background1" w:themeShade="80"/>
              </w:rPr>
              <w:t>Vysoká škola stručně popíše svůj interní systém vzdělávání pregraduálních a postgraduálních studentů a zaměstnanců v oblasti ochrany duševního vlastnictví a transferu technologií (pokud takový systém vzdělávání existuje).</w:t>
            </w:r>
          </w:p>
        </w:tc>
      </w:tr>
    </w:tbl>
    <w:p w14:paraId="6CFC17FF" w14:textId="77777777" w:rsidR="00FA683C" w:rsidRPr="005973EB" w:rsidRDefault="00FA683C" w:rsidP="00FA683C">
      <w:pPr>
        <w:jc w:val="both"/>
        <w:rPr>
          <w:rFonts w:cstheme="minorHAnsi"/>
          <w:b/>
          <w:sz w:val="20"/>
          <w:szCs w:val="20"/>
          <w:lang w:val="cs-CZ"/>
        </w:rPr>
      </w:pPr>
    </w:p>
    <w:tbl>
      <w:tblPr>
        <w:tblStyle w:val="Mkatabulky"/>
        <w:tblW w:w="0" w:type="auto"/>
        <w:tblLook w:val="04A0" w:firstRow="1" w:lastRow="0" w:firstColumn="1" w:lastColumn="0" w:noHBand="0" w:noVBand="1"/>
      </w:tblPr>
      <w:tblGrid>
        <w:gridCol w:w="9209"/>
      </w:tblGrid>
      <w:tr w:rsidR="00FA683C" w14:paraId="46F99A10" w14:textId="77777777" w:rsidTr="00F31ED7">
        <w:tc>
          <w:tcPr>
            <w:tcW w:w="9209" w:type="dxa"/>
          </w:tcPr>
          <w:p w14:paraId="1E3187F3" w14:textId="77777777" w:rsidR="00FA683C" w:rsidRDefault="00FA683C" w:rsidP="00F31ED7">
            <w:pPr>
              <w:jc w:val="both"/>
              <w:rPr>
                <w:rFonts w:cstheme="minorHAnsi"/>
                <w:b/>
              </w:rPr>
            </w:pPr>
            <w:r>
              <w:rPr>
                <w:rFonts w:cstheme="minorHAnsi"/>
                <w:b/>
              </w:rPr>
              <w:t>S</w:t>
            </w:r>
            <w:r w:rsidRPr="005973EB">
              <w:rPr>
                <w:rFonts w:cstheme="minorHAnsi"/>
                <w:b/>
              </w:rPr>
              <w:t>ebehodnocení:</w:t>
            </w:r>
          </w:p>
          <w:p w14:paraId="6D3947EC" w14:textId="77777777" w:rsidR="00FA683C" w:rsidRDefault="00FA683C" w:rsidP="00F31ED7">
            <w:pPr>
              <w:jc w:val="both"/>
              <w:rPr>
                <w:rFonts w:cstheme="minorHAnsi"/>
                <w:b/>
              </w:rPr>
            </w:pPr>
          </w:p>
          <w:p w14:paraId="49890FFC" w14:textId="77777777" w:rsidR="00FA683C" w:rsidRDefault="00FA683C" w:rsidP="00F31ED7">
            <w:pPr>
              <w:jc w:val="both"/>
              <w:rPr>
                <w:rFonts w:cstheme="minorHAnsi"/>
                <w:b/>
              </w:rPr>
            </w:pPr>
          </w:p>
          <w:p w14:paraId="2A371C14" w14:textId="77777777" w:rsidR="00FA683C" w:rsidRDefault="00FA683C" w:rsidP="00F31ED7">
            <w:pPr>
              <w:jc w:val="both"/>
              <w:rPr>
                <w:rFonts w:cstheme="minorHAnsi"/>
                <w:b/>
              </w:rPr>
            </w:pPr>
          </w:p>
          <w:p w14:paraId="1F3CE377" w14:textId="77777777" w:rsidR="00FA683C" w:rsidRDefault="00FA683C" w:rsidP="00F31ED7">
            <w:pPr>
              <w:jc w:val="both"/>
              <w:rPr>
                <w:rFonts w:cstheme="minorHAnsi"/>
                <w:b/>
              </w:rPr>
            </w:pPr>
          </w:p>
          <w:p w14:paraId="7DEF088B" w14:textId="77777777" w:rsidR="00FA683C" w:rsidRDefault="00FA683C" w:rsidP="00F31ED7">
            <w:pPr>
              <w:jc w:val="both"/>
              <w:rPr>
                <w:rFonts w:cstheme="minorHAnsi"/>
                <w:b/>
              </w:rPr>
            </w:pPr>
          </w:p>
          <w:p w14:paraId="5627C52A" w14:textId="77777777" w:rsidR="00FA683C" w:rsidRPr="005973EB" w:rsidRDefault="00FA683C" w:rsidP="00F31ED7">
            <w:pPr>
              <w:jc w:val="both"/>
              <w:rPr>
                <w:rFonts w:cstheme="minorHAnsi"/>
                <w:b/>
              </w:rPr>
            </w:pPr>
          </w:p>
          <w:p w14:paraId="4EC3C216" w14:textId="77777777" w:rsidR="00FA683C" w:rsidRDefault="00FA683C" w:rsidP="00F31ED7">
            <w:pPr>
              <w:jc w:val="both"/>
              <w:rPr>
                <w:rFonts w:cstheme="minorHAnsi"/>
                <w:b/>
              </w:rPr>
            </w:pPr>
          </w:p>
        </w:tc>
      </w:tr>
    </w:tbl>
    <w:p w14:paraId="70982A02" w14:textId="77777777" w:rsidR="00FA683C" w:rsidRDefault="00FA683C" w:rsidP="00FA683C">
      <w:pPr>
        <w:rPr>
          <w:rFonts w:cstheme="minorHAnsi"/>
          <w:b/>
          <w:lang w:val="cs-CZ"/>
        </w:rPr>
      </w:pPr>
    </w:p>
    <w:p w14:paraId="2F58A5A2" w14:textId="77777777" w:rsidR="002045EE" w:rsidRDefault="00FA683C" w:rsidP="002045EE">
      <w:pPr>
        <w:jc w:val="both"/>
        <w:rPr>
          <w:rFonts w:cstheme="minorHAnsi"/>
          <w:b/>
          <w:color w:val="808080" w:themeColor="background1" w:themeShade="80"/>
          <w:lang w:val="cs-CZ"/>
        </w:rPr>
      </w:pPr>
      <w:r w:rsidRPr="0097716B">
        <w:rPr>
          <w:rFonts w:cstheme="minorHAnsi"/>
          <w:b/>
          <w:sz w:val="22"/>
          <w:szCs w:val="22"/>
          <w:lang w:val="cs-CZ"/>
        </w:rPr>
        <w:t>Odkaz</w:t>
      </w:r>
      <w:r w:rsidR="002045EE">
        <w:rPr>
          <w:rFonts w:cstheme="minorHAnsi"/>
          <w:b/>
          <w:sz w:val="22"/>
          <w:szCs w:val="22"/>
          <w:lang w:val="cs-CZ"/>
        </w:rPr>
        <w:t>y v HTML na podpůrné dokumenty:</w:t>
      </w:r>
      <w:bookmarkStart w:id="13" w:name="_Toc13829023"/>
    </w:p>
    <w:p w14:paraId="32A3926C" w14:textId="77777777" w:rsidR="002045EE" w:rsidRDefault="002045EE" w:rsidP="002045EE">
      <w:pPr>
        <w:jc w:val="both"/>
        <w:rPr>
          <w:rFonts w:cstheme="minorHAnsi"/>
          <w:b/>
          <w:color w:val="808080" w:themeColor="background1" w:themeShade="80"/>
          <w:lang w:val="cs-CZ"/>
        </w:rPr>
      </w:pPr>
    </w:p>
    <w:p w14:paraId="4835195E" w14:textId="77777777" w:rsidR="002045EE" w:rsidRDefault="002045EE" w:rsidP="002045EE">
      <w:pPr>
        <w:jc w:val="both"/>
        <w:rPr>
          <w:rFonts w:cstheme="minorHAnsi"/>
          <w:b/>
          <w:color w:val="808080" w:themeColor="background1" w:themeShade="80"/>
          <w:lang w:val="cs-CZ"/>
        </w:rPr>
      </w:pPr>
    </w:p>
    <w:p w14:paraId="381B06B6" w14:textId="77777777" w:rsidR="002045EE" w:rsidRDefault="002045EE" w:rsidP="002045EE">
      <w:pPr>
        <w:jc w:val="both"/>
        <w:rPr>
          <w:rFonts w:cstheme="minorHAnsi"/>
          <w:b/>
          <w:color w:val="808080" w:themeColor="background1" w:themeShade="80"/>
          <w:lang w:val="cs-CZ"/>
        </w:rPr>
      </w:pPr>
    </w:p>
    <w:p w14:paraId="3ADCAB28" w14:textId="76D709E5" w:rsidR="000B5E14" w:rsidRPr="002045EE" w:rsidRDefault="00202AA7" w:rsidP="002045EE">
      <w:pPr>
        <w:pStyle w:val="Nadpis3"/>
        <w:rPr>
          <w:rFonts w:cstheme="minorHAnsi"/>
          <w:sz w:val="22"/>
          <w:szCs w:val="22"/>
          <w:lang w:val="cs-CZ"/>
        </w:rPr>
      </w:pPr>
      <w:r w:rsidRPr="00202AA7">
        <w:rPr>
          <w:lang w:val="cs-CZ"/>
        </w:rPr>
        <w:t>DOKTORSKÉ</w:t>
      </w:r>
      <w:r w:rsidR="000B5E14" w:rsidRPr="00202AA7">
        <w:rPr>
          <w:lang w:val="cs-CZ"/>
        </w:rPr>
        <w:t xml:space="preserve"> STUDIUM</w:t>
      </w:r>
      <w:bookmarkEnd w:id="13"/>
      <w:r w:rsidR="000B5E14" w:rsidRPr="000B5E14">
        <w:rPr>
          <w:lang w:val="cs-CZ"/>
        </w:rPr>
        <w:t xml:space="preserve"> </w:t>
      </w:r>
    </w:p>
    <w:p w14:paraId="7621560F" w14:textId="77777777" w:rsidR="000B5E14" w:rsidRDefault="000B5E14" w:rsidP="000B5E14">
      <w:pPr>
        <w:jc w:val="both"/>
        <w:rPr>
          <w:b/>
          <w:lang w:val="cs-CZ"/>
        </w:rPr>
      </w:pPr>
    </w:p>
    <w:tbl>
      <w:tblPr>
        <w:tblStyle w:val="Mkatabulky"/>
        <w:tblW w:w="9209" w:type="dxa"/>
        <w:tblLook w:val="04A0" w:firstRow="1" w:lastRow="0" w:firstColumn="1" w:lastColumn="0" w:noHBand="0" w:noVBand="1"/>
      </w:tblPr>
      <w:tblGrid>
        <w:gridCol w:w="9209"/>
      </w:tblGrid>
      <w:tr w:rsidR="000B5E14" w14:paraId="47589321" w14:textId="77777777" w:rsidTr="00686516">
        <w:tc>
          <w:tcPr>
            <w:tcW w:w="9209" w:type="dxa"/>
          </w:tcPr>
          <w:p w14:paraId="2D4C2051" w14:textId="77777777" w:rsidR="000B5E14" w:rsidRPr="00375A49" w:rsidRDefault="000B5E14" w:rsidP="00BC0670">
            <w:pPr>
              <w:shd w:val="clear" w:color="auto" w:fill="90BDC5"/>
              <w:jc w:val="both"/>
              <w:rPr>
                <w:b/>
              </w:rPr>
            </w:pPr>
            <w:r w:rsidRPr="00375A49">
              <w:rPr>
                <w:b/>
              </w:rPr>
              <w:t>4.6 Organizace doktorského studia</w:t>
            </w:r>
          </w:p>
          <w:p w14:paraId="3A32BBBA" w14:textId="5C659993" w:rsidR="000B5E14" w:rsidRPr="0096628E" w:rsidRDefault="0096628E" w:rsidP="000B5E14">
            <w:pPr>
              <w:jc w:val="both"/>
              <w:rPr>
                <w:i/>
              </w:rPr>
            </w:pPr>
            <w:r w:rsidRPr="0096628E">
              <w:rPr>
                <w:color w:val="808080" w:themeColor="background1" w:themeShade="80"/>
              </w:rPr>
              <w:t xml:space="preserve">Vysoká škola stručně popíše organizaci doktorského studia: strukturu, základní statistiku, informace o propagaci a náborových schématech, o vnější komunikaci ohledně doktorského studia (např. spolupráci s Akademií věd ČR, spolupráci s aplikační sférou, nábory v zahraničí atd.), případně uvede další relevantní údaje, jako jsou existence doktorské školy, základní kurzy tzv. soft </w:t>
            </w:r>
            <w:proofErr w:type="spellStart"/>
            <w:r w:rsidRPr="0096628E">
              <w:rPr>
                <w:color w:val="808080" w:themeColor="background1" w:themeShade="80"/>
              </w:rPr>
              <w:t>skills</w:t>
            </w:r>
            <w:proofErr w:type="spellEnd"/>
            <w:r w:rsidRPr="0096628E">
              <w:rPr>
                <w:color w:val="808080" w:themeColor="background1" w:themeShade="80"/>
              </w:rPr>
              <w:t xml:space="preserve"> atd.</w:t>
            </w:r>
            <w:r w:rsidRPr="00375A49">
              <w:rPr>
                <w:i/>
              </w:rPr>
              <w:t xml:space="preserve"> </w:t>
            </w:r>
          </w:p>
        </w:tc>
      </w:tr>
    </w:tbl>
    <w:p w14:paraId="18CCD0CE" w14:textId="77777777" w:rsidR="00D862D3" w:rsidRPr="005973EB" w:rsidRDefault="00D862D3" w:rsidP="00D862D3">
      <w:pPr>
        <w:jc w:val="both"/>
        <w:rPr>
          <w:rFonts w:cstheme="minorHAnsi"/>
          <w:b/>
          <w:sz w:val="20"/>
          <w:szCs w:val="20"/>
          <w:lang w:val="cs-CZ"/>
        </w:rPr>
      </w:pPr>
    </w:p>
    <w:tbl>
      <w:tblPr>
        <w:tblStyle w:val="Mkatabulky"/>
        <w:tblW w:w="0" w:type="auto"/>
        <w:tblLook w:val="04A0" w:firstRow="1" w:lastRow="0" w:firstColumn="1" w:lastColumn="0" w:noHBand="0" w:noVBand="1"/>
      </w:tblPr>
      <w:tblGrid>
        <w:gridCol w:w="9209"/>
      </w:tblGrid>
      <w:tr w:rsidR="00D862D3" w14:paraId="3F17B377" w14:textId="77777777" w:rsidTr="00892563">
        <w:tc>
          <w:tcPr>
            <w:tcW w:w="9209" w:type="dxa"/>
          </w:tcPr>
          <w:p w14:paraId="04734070" w14:textId="77777777" w:rsidR="00D862D3" w:rsidRDefault="00D862D3" w:rsidP="00892563">
            <w:pPr>
              <w:jc w:val="both"/>
              <w:rPr>
                <w:rFonts w:cstheme="minorHAnsi"/>
                <w:b/>
              </w:rPr>
            </w:pPr>
            <w:r>
              <w:rPr>
                <w:rFonts w:cstheme="minorHAnsi"/>
                <w:b/>
              </w:rPr>
              <w:t>S</w:t>
            </w:r>
            <w:r w:rsidRPr="005973EB">
              <w:rPr>
                <w:rFonts w:cstheme="minorHAnsi"/>
                <w:b/>
              </w:rPr>
              <w:t>ebehodnocení:</w:t>
            </w:r>
          </w:p>
          <w:p w14:paraId="547BB4BF" w14:textId="77777777" w:rsidR="00D862D3" w:rsidRDefault="00D862D3" w:rsidP="00892563">
            <w:pPr>
              <w:jc w:val="both"/>
              <w:rPr>
                <w:rFonts w:cstheme="minorHAnsi"/>
                <w:b/>
              </w:rPr>
            </w:pPr>
          </w:p>
          <w:p w14:paraId="28D1D5BC" w14:textId="77777777" w:rsidR="00D862D3" w:rsidRDefault="00D862D3" w:rsidP="00892563">
            <w:pPr>
              <w:jc w:val="both"/>
              <w:rPr>
                <w:rFonts w:cstheme="minorHAnsi"/>
                <w:b/>
              </w:rPr>
            </w:pPr>
          </w:p>
          <w:p w14:paraId="150158AD" w14:textId="77777777" w:rsidR="00D862D3" w:rsidRDefault="00D862D3" w:rsidP="00892563">
            <w:pPr>
              <w:jc w:val="both"/>
              <w:rPr>
                <w:rFonts w:cstheme="minorHAnsi"/>
                <w:b/>
              </w:rPr>
            </w:pPr>
          </w:p>
          <w:p w14:paraId="6FB3B458" w14:textId="77777777" w:rsidR="00D862D3" w:rsidRDefault="00D862D3" w:rsidP="00892563">
            <w:pPr>
              <w:jc w:val="both"/>
              <w:rPr>
                <w:rFonts w:cstheme="minorHAnsi"/>
                <w:b/>
              </w:rPr>
            </w:pPr>
          </w:p>
          <w:p w14:paraId="5C1A8974" w14:textId="77777777" w:rsidR="00D862D3" w:rsidRDefault="00D862D3" w:rsidP="00892563">
            <w:pPr>
              <w:jc w:val="both"/>
              <w:rPr>
                <w:rFonts w:cstheme="minorHAnsi"/>
                <w:b/>
              </w:rPr>
            </w:pPr>
          </w:p>
          <w:p w14:paraId="01182027" w14:textId="77777777" w:rsidR="00D862D3" w:rsidRPr="005973EB" w:rsidRDefault="00D862D3" w:rsidP="00892563">
            <w:pPr>
              <w:jc w:val="both"/>
              <w:rPr>
                <w:rFonts w:cstheme="minorHAnsi"/>
                <w:b/>
              </w:rPr>
            </w:pPr>
          </w:p>
          <w:p w14:paraId="1596390F" w14:textId="77777777" w:rsidR="00D862D3" w:rsidRDefault="00D862D3" w:rsidP="00892563">
            <w:pPr>
              <w:jc w:val="both"/>
              <w:rPr>
                <w:rFonts w:cstheme="minorHAnsi"/>
                <w:b/>
              </w:rPr>
            </w:pPr>
          </w:p>
        </w:tc>
      </w:tr>
    </w:tbl>
    <w:p w14:paraId="0B4CB85C" w14:textId="77777777" w:rsidR="00D862D3" w:rsidRDefault="00D862D3" w:rsidP="00D862D3">
      <w:pPr>
        <w:rPr>
          <w:rFonts w:cstheme="minorHAnsi"/>
          <w:b/>
          <w:lang w:val="cs-CZ"/>
        </w:rPr>
      </w:pPr>
    </w:p>
    <w:p w14:paraId="19494E3B" w14:textId="77777777" w:rsidR="00D862D3" w:rsidRPr="0097716B" w:rsidRDefault="00D862D3" w:rsidP="00D862D3">
      <w:pPr>
        <w:jc w:val="both"/>
        <w:rPr>
          <w:rFonts w:cstheme="minorHAnsi"/>
          <w:b/>
          <w:sz w:val="22"/>
          <w:szCs w:val="22"/>
          <w:lang w:val="cs-CZ"/>
        </w:rPr>
      </w:pPr>
      <w:r w:rsidRPr="0097716B">
        <w:rPr>
          <w:rFonts w:cstheme="minorHAnsi"/>
          <w:b/>
          <w:sz w:val="22"/>
          <w:szCs w:val="22"/>
          <w:lang w:val="cs-CZ"/>
        </w:rPr>
        <w:t>Odkazy v HTML na podpůrné dokumenty:</w:t>
      </w:r>
    </w:p>
    <w:p w14:paraId="3E2A9B26" w14:textId="77777777" w:rsidR="000B5E14" w:rsidRDefault="000B5E14" w:rsidP="000B5E14">
      <w:pPr>
        <w:rPr>
          <w:b/>
          <w:lang w:val="cs-CZ"/>
        </w:rPr>
      </w:pPr>
    </w:p>
    <w:p w14:paraId="5B9422E2" w14:textId="77777777" w:rsidR="00BC0670" w:rsidRDefault="00BC0670" w:rsidP="000B5E14">
      <w:pPr>
        <w:jc w:val="both"/>
        <w:rPr>
          <w:b/>
          <w:lang w:val="cs-CZ"/>
        </w:rPr>
      </w:pPr>
    </w:p>
    <w:p w14:paraId="283C84F9" w14:textId="77777777" w:rsidR="00F34EF2" w:rsidRDefault="00F34EF2" w:rsidP="000B5E14">
      <w:pPr>
        <w:jc w:val="both"/>
        <w:rPr>
          <w:b/>
          <w:lang w:val="cs-CZ"/>
        </w:rPr>
      </w:pPr>
    </w:p>
    <w:p w14:paraId="4EFC3134" w14:textId="77777777" w:rsidR="002045EE" w:rsidRDefault="002045EE" w:rsidP="000B5E14">
      <w:pPr>
        <w:jc w:val="both"/>
        <w:rPr>
          <w:b/>
          <w:lang w:val="cs-CZ"/>
        </w:rPr>
      </w:pPr>
    </w:p>
    <w:tbl>
      <w:tblPr>
        <w:tblStyle w:val="Mkatabulky"/>
        <w:tblW w:w="9209" w:type="dxa"/>
        <w:tblLook w:val="04A0" w:firstRow="1" w:lastRow="0" w:firstColumn="1" w:lastColumn="0" w:noHBand="0" w:noVBand="1"/>
      </w:tblPr>
      <w:tblGrid>
        <w:gridCol w:w="9209"/>
      </w:tblGrid>
      <w:tr w:rsidR="000B5E14" w14:paraId="504A8EDB" w14:textId="77777777" w:rsidTr="00686516">
        <w:tc>
          <w:tcPr>
            <w:tcW w:w="9209" w:type="dxa"/>
          </w:tcPr>
          <w:p w14:paraId="5BE2C721" w14:textId="77777777" w:rsidR="000B5E14" w:rsidRPr="00375A49" w:rsidRDefault="000B5E14" w:rsidP="00BC0670">
            <w:pPr>
              <w:shd w:val="clear" w:color="auto" w:fill="90BDC5"/>
              <w:jc w:val="both"/>
              <w:rPr>
                <w:b/>
              </w:rPr>
            </w:pPr>
            <w:r w:rsidRPr="00375A49">
              <w:rPr>
                <w:b/>
              </w:rPr>
              <w:t>4.7 Internacionalizace doktorského studia</w:t>
            </w:r>
          </w:p>
          <w:p w14:paraId="4BD89EA2" w14:textId="7EFBD423" w:rsidR="000B5E14" w:rsidRPr="0096628E" w:rsidRDefault="0096628E" w:rsidP="000B5E14">
            <w:pPr>
              <w:jc w:val="both"/>
              <w:rPr>
                <w:i/>
              </w:rPr>
            </w:pPr>
            <w:r w:rsidRPr="0096628E">
              <w:rPr>
                <w:color w:val="808080" w:themeColor="background1" w:themeShade="80"/>
              </w:rPr>
              <w:t xml:space="preserve">Vysoká škola popíše a uvede konkrétní příklady mezinárodní spolupráce v oblasti doktorského studia, např. budování otevřenosti doktorských studijních programů pro cizí státní příslušníky a vytváření mezinárodních sítí doktorských studií, péče o zahraniční studenty přijíždějící v rámci mobility, podpora a existence společných individuálních doktorských studií v rámci mezinárodní spolupráce (kupř. „joint </w:t>
            </w:r>
            <w:proofErr w:type="spellStart"/>
            <w:r w:rsidRPr="0096628E">
              <w:rPr>
                <w:color w:val="808080" w:themeColor="background1" w:themeShade="80"/>
              </w:rPr>
              <w:t>degree</w:t>
            </w:r>
            <w:proofErr w:type="spellEnd"/>
            <w:r w:rsidRPr="0096628E">
              <w:rPr>
                <w:color w:val="808080" w:themeColor="background1" w:themeShade="80"/>
              </w:rPr>
              <w:t>“), individuální kontrakty (např. „</w:t>
            </w:r>
            <w:proofErr w:type="spellStart"/>
            <w:r w:rsidRPr="0096628E">
              <w:rPr>
                <w:color w:val="808080" w:themeColor="background1" w:themeShade="80"/>
              </w:rPr>
              <w:t>cotutelle</w:t>
            </w:r>
            <w:proofErr w:type="spellEnd"/>
            <w:r w:rsidRPr="0096628E">
              <w:rPr>
                <w:color w:val="808080" w:themeColor="background1" w:themeShade="80"/>
              </w:rPr>
              <w:t>“), studijní pobyty a výzkumné stáže v zahraničí atd.</w:t>
            </w:r>
          </w:p>
        </w:tc>
      </w:tr>
    </w:tbl>
    <w:p w14:paraId="2C4AF8BD" w14:textId="77777777" w:rsidR="00D862D3" w:rsidRPr="005973EB" w:rsidRDefault="00D862D3" w:rsidP="00D862D3">
      <w:pPr>
        <w:jc w:val="both"/>
        <w:rPr>
          <w:rFonts w:cstheme="minorHAnsi"/>
          <w:b/>
          <w:sz w:val="20"/>
          <w:szCs w:val="20"/>
          <w:lang w:val="cs-CZ"/>
        </w:rPr>
      </w:pPr>
    </w:p>
    <w:tbl>
      <w:tblPr>
        <w:tblStyle w:val="Mkatabulky"/>
        <w:tblW w:w="0" w:type="auto"/>
        <w:tblLook w:val="04A0" w:firstRow="1" w:lastRow="0" w:firstColumn="1" w:lastColumn="0" w:noHBand="0" w:noVBand="1"/>
      </w:tblPr>
      <w:tblGrid>
        <w:gridCol w:w="9209"/>
      </w:tblGrid>
      <w:tr w:rsidR="00D862D3" w14:paraId="09037DA1" w14:textId="77777777" w:rsidTr="00892563">
        <w:tc>
          <w:tcPr>
            <w:tcW w:w="9209" w:type="dxa"/>
          </w:tcPr>
          <w:p w14:paraId="53353331" w14:textId="77777777" w:rsidR="00D862D3" w:rsidRDefault="00D862D3" w:rsidP="00892563">
            <w:pPr>
              <w:jc w:val="both"/>
              <w:rPr>
                <w:rFonts w:cstheme="minorHAnsi"/>
                <w:b/>
              </w:rPr>
            </w:pPr>
            <w:r>
              <w:rPr>
                <w:rFonts w:cstheme="minorHAnsi"/>
                <w:b/>
              </w:rPr>
              <w:lastRenderedPageBreak/>
              <w:t>S</w:t>
            </w:r>
            <w:r w:rsidRPr="005973EB">
              <w:rPr>
                <w:rFonts w:cstheme="minorHAnsi"/>
                <w:b/>
              </w:rPr>
              <w:t>ebehodnocení:</w:t>
            </w:r>
          </w:p>
          <w:p w14:paraId="3AF9B20C" w14:textId="77777777" w:rsidR="00D862D3" w:rsidRDefault="00D862D3" w:rsidP="00892563">
            <w:pPr>
              <w:jc w:val="both"/>
              <w:rPr>
                <w:rFonts w:cstheme="minorHAnsi"/>
                <w:b/>
              </w:rPr>
            </w:pPr>
          </w:p>
          <w:p w14:paraId="183048A2" w14:textId="77777777" w:rsidR="00D862D3" w:rsidRDefault="00D862D3" w:rsidP="00892563">
            <w:pPr>
              <w:jc w:val="both"/>
              <w:rPr>
                <w:rFonts w:cstheme="minorHAnsi"/>
                <w:b/>
              </w:rPr>
            </w:pPr>
          </w:p>
          <w:p w14:paraId="0F5F3344" w14:textId="77777777" w:rsidR="00D862D3" w:rsidRDefault="00D862D3" w:rsidP="00892563">
            <w:pPr>
              <w:jc w:val="both"/>
              <w:rPr>
                <w:rFonts w:cstheme="minorHAnsi"/>
                <w:b/>
              </w:rPr>
            </w:pPr>
          </w:p>
          <w:p w14:paraId="523E64F6" w14:textId="77777777" w:rsidR="00D862D3" w:rsidRDefault="00D862D3" w:rsidP="00892563">
            <w:pPr>
              <w:jc w:val="both"/>
              <w:rPr>
                <w:rFonts w:cstheme="minorHAnsi"/>
                <w:b/>
              </w:rPr>
            </w:pPr>
          </w:p>
          <w:p w14:paraId="3EB4001E" w14:textId="77777777" w:rsidR="00D862D3" w:rsidRDefault="00D862D3" w:rsidP="00892563">
            <w:pPr>
              <w:jc w:val="both"/>
              <w:rPr>
                <w:rFonts w:cstheme="minorHAnsi"/>
                <w:b/>
              </w:rPr>
            </w:pPr>
          </w:p>
          <w:p w14:paraId="224D42AC" w14:textId="77777777" w:rsidR="00D862D3" w:rsidRDefault="00D862D3" w:rsidP="00892563">
            <w:pPr>
              <w:jc w:val="both"/>
              <w:rPr>
                <w:rFonts w:cstheme="minorHAnsi"/>
                <w:b/>
              </w:rPr>
            </w:pPr>
          </w:p>
        </w:tc>
      </w:tr>
    </w:tbl>
    <w:p w14:paraId="3BF885BC" w14:textId="77777777" w:rsidR="002045EE" w:rsidRDefault="002045EE" w:rsidP="00D862D3">
      <w:pPr>
        <w:jc w:val="both"/>
        <w:rPr>
          <w:rFonts w:cstheme="minorHAnsi"/>
          <w:b/>
          <w:sz w:val="22"/>
          <w:szCs w:val="22"/>
          <w:lang w:val="cs-CZ"/>
        </w:rPr>
      </w:pPr>
    </w:p>
    <w:p w14:paraId="5A2C92EB" w14:textId="77777777" w:rsidR="00D862D3" w:rsidRPr="0097716B" w:rsidRDefault="00D862D3" w:rsidP="00D862D3">
      <w:pPr>
        <w:jc w:val="both"/>
        <w:rPr>
          <w:rFonts w:cstheme="minorHAnsi"/>
          <w:b/>
          <w:sz w:val="22"/>
          <w:szCs w:val="22"/>
          <w:lang w:val="cs-CZ"/>
        </w:rPr>
      </w:pPr>
      <w:r w:rsidRPr="0097716B">
        <w:rPr>
          <w:rFonts w:cstheme="minorHAnsi"/>
          <w:b/>
          <w:sz w:val="22"/>
          <w:szCs w:val="22"/>
          <w:lang w:val="cs-CZ"/>
        </w:rPr>
        <w:t>Odkazy v HTML na podpůrné dokumenty:</w:t>
      </w:r>
    </w:p>
    <w:p w14:paraId="575757E0" w14:textId="77777777" w:rsidR="000B5E14" w:rsidRDefault="000B5E14" w:rsidP="000B5E14">
      <w:pPr>
        <w:jc w:val="both"/>
        <w:rPr>
          <w:rFonts w:cstheme="minorHAnsi"/>
          <w:b/>
          <w:sz w:val="20"/>
          <w:szCs w:val="20"/>
          <w:lang w:val="cs-CZ"/>
        </w:rPr>
      </w:pPr>
    </w:p>
    <w:p w14:paraId="482F6213" w14:textId="77777777" w:rsidR="002045EE" w:rsidRDefault="002045EE" w:rsidP="000B5E14">
      <w:pPr>
        <w:jc w:val="both"/>
        <w:rPr>
          <w:rFonts w:cstheme="minorHAnsi"/>
          <w:b/>
          <w:sz w:val="20"/>
          <w:szCs w:val="20"/>
          <w:lang w:val="cs-CZ"/>
        </w:rPr>
      </w:pPr>
    </w:p>
    <w:p w14:paraId="2BFFD35E" w14:textId="77777777" w:rsidR="000B5E14" w:rsidRPr="00375A49" w:rsidRDefault="000B5E14" w:rsidP="000B5E14">
      <w:pPr>
        <w:rPr>
          <w:b/>
          <w:lang w:val="cs-CZ"/>
        </w:rPr>
      </w:pPr>
    </w:p>
    <w:p w14:paraId="5CF5B993" w14:textId="77777777" w:rsidR="00202AA7" w:rsidRDefault="00202AA7" w:rsidP="000B5E14">
      <w:pPr>
        <w:jc w:val="both"/>
        <w:rPr>
          <w:b/>
          <w:lang w:val="cs-CZ"/>
        </w:rPr>
      </w:pPr>
    </w:p>
    <w:tbl>
      <w:tblPr>
        <w:tblStyle w:val="Mkatabulky"/>
        <w:tblW w:w="9356" w:type="dxa"/>
        <w:tblInd w:w="-147" w:type="dxa"/>
        <w:tblLook w:val="04A0" w:firstRow="1" w:lastRow="0" w:firstColumn="1" w:lastColumn="0" w:noHBand="0" w:noVBand="1"/>
      </w:tblPr>
      <w:tblGrid>
        <w:gridCol w:w="9356"/>
      </w:tblGrid>
      <w:tr w:rsidR="000B5E14" w14:paraId="16CA798C" w14:textId="77777777" w:rsidTr="00BC0670">
        <w:tc>
          <w:tcPr>
            <w:tcW w:w="9356" w:type="dxa"/>
          </w:tcPr>
          <w:p w14:paraId="4A621515" w14:textId="71E68046" w:rsidR="00D33444" w:rsidRDefault="00D33444" w:rsidP="00BC0670">
            <w:pPr>
              <w:shd w:val="clear" w:color="auto" w:fill="90BDC5"/>
              <w:jc w:val="both"/>
              <w:rPr>
                <w:b/>
              </w:rPr>
            </w:pPr>
            <w:r w:rsidRPr="00375A49">
              <w:rPr>
                <w:b/>
              </w:rPr>
              <w:t xml:space="preserve">4.8 Navazující kariéry absolventů doktorského studia </w:t>
            </w:r>
          </w:p>
          <w:p w14:paraId="3E1D1FAC" w14:textId="2FCF9C33" w:rsidR="000B5E14" w:rsidRPr="005F7675" w:rsidRDefault="00D33444" w:rsidP="00BC0670">
            <w:pPr>
              <w:shd w:val="clear" w:color="auto" w:fill="90BDC5"/>
              <w:jc w:val="both"/>
              <w:rPr>
                <w:b/>
              </w:rPr>
            </w:pPr>
            <w:r w:rsidRPr="003C62A2">
              <w:t>(podmínky podpory)</w:t>
            </w:r>
            <w:r w:rsidR="000B5E14" w:rsidRPr="005F7675">
              <w:rPr>
                <w:b/>
              </w:rPr>
              <w:t xml:space="preserve">  </w:t>
            </w:r>
          </w:p>
          <w:p w14:paraId="7E54D05D" w14:textId="3E604FCA" w:rsidR="00F34EF2" w:rsidRPr="0096628E" w:rsidRDefault="0096628E" w:rsidP="003B053D">
            <w:pPr>
              <w:jc w:val="both"/>
              <w:rPr>
                <w:i/>
              </w:rPr>
            </w:pPr>
            <w:r w:rsidRPr="0096628E">
              <w:rPr>
                <w:color w:val="808080" w:themeColor="background1" w:themeShade="80"/>
              </w:rPr>
              <w:t xml:space="preserve">Vysoká škola uvede konkrétní opatření k podpoře absolventů doktorského studia (např. interní dotační schémata zaměřená na další rozvoj začínajících vědců, </w:t>
            </w:r>
            <w:proofErr w:type="spellStart"/>
            <w:r w:rsidRPr="0096628E">
              <w:rPr>
                <w:color w:val="808080" w:themeColor="background1" w:themeShade="80"/>
              </w:rPr>
              <w:t>postdoků</w:t>
            </w:r>
            <w:proofErr w:type="spellEnd"/>
            <w:r w:rsidRPr="0096628E">
              <w:rPr>
                <w:color w:val="808080" w:themeColor="background1" w:themeShade="80"/>
              </w:rPr>
              <w:t>, aktivní vyhledávání příležitostí v zahraničí apod.) a poskytne reprezentativní údaje o navazující kariéře absolventů doktorského studia v rozsahu nanejvýše 10 příkladů uplatnění absolventů za hodnocené období 2014 až 2018 v příloze (tab. 4.8.1).</w:t>
            </w:r>
          </w:p>
        </w:tc>
      </w:tr>
    </w:tbl>
    <w:p w14:paraId="7B0D198F" w14:textId="77777777" w:rsidR="00D862D3" w:rsidRPr="005973EB" w:rsidRDefault="00D862D3" w:rsidP="00D862D3">
      <w:pPr>
        <w:jc w:val="both"/>
        <w:rPr>
          <w:rFonts w:cstheme="minorHAnsi"/>
          <w:b/>
          <w:sz w:val="20"/>
          <w:szCs w:val="20"/>
          <w:lang w:val="cs-CZ"/>
        </w:rPr>
      </w:pPr>
    </w:p>
    <w:tbl>
      <w:tblPr>
        <w:tblStyle w:val="Mkatabulky"/>
        <w:tblW w:w="0" w:type="auto"/>
        <w:tblInd w:w="-147" w:type="dxa"/>
        <w:tblLook w:val="04A0" w:firstRow="1" w:lastRow="0" w:firstColumn="1" w:lastColumn="0" w:noHBand="0" w:noVBand="1"/>
      </w:tblPr>
      <w:tblGrid>
        <w:gridCol w:w="9356"/>
      </w:tblGrid>
      <w:tr w:rsidR="00D862D3" w14:paraId="4868F67E" w14:textId="77777777" w:rsidTr="00D862D3">
        <w:tc>
          <w:tcPr>
            <w:tcW w:w="9356" w:type="dxa"/>
          </w:tcPr>
          <w:p w14:paraId="409A7B22" w14:textId="77777777" w:rsidR="00D862D3" w:rsidRDefault="00D862D3" w:rsidP="00892563">
            <w:pPr>
              <w:jc w:val="both"/>
              <w:rPr>
                <w:rFonts w:cstheme="minorHAnsi"/>
                <w:b/>
              </w:rPr>
            </w:pPr>
            <w:r>
              <w:rPr>
                <w:rFonts w:cstheme="minorHAnsi"/>
                <w:b/>
              </w:rPr>
              <w:t>S</w:t>
            </w:r>
            <w:r w:rsidRPr="005973EB">
              <w:rPr>
                <w:rFonts w:cstheme="minorHAnsi"/>
                <w:b/>
              </w:rPr>
              <w:t>ebehodnocení:</w:t>
            </w:r>
          </w:p>
          <w:p w14:paraId="0172AEAF" w14:textId="77777777" w:rsidR="00D862D3" w:rsidRDefault="00D862D3" w:rsidP="00892563">
            <w:pPr>
              <w:jc w:val="both"/>
              <w:rPr>
                <w:rFonts w:cstheme="minorHAnsi"/>
                <w:b/>
              </w:rPr>
            </w:pPr>
          </w:p>
          <w:p w14:paraId="27A40F32" w14:textId="77777777" w:rsidR="00D862D3" w:rsidRDefault="00D862D3" w:rsidP="00892563">
            <w:pPr>
              <w:jc w:val="both"/>
              <w:rPr>
                <w:rFonts w:cstheme="minorHAnsi"/>
                <w:b/>
              </w:rPr>
            </w:pPr>
          </w:p>
          <w:p w14:paraId="5BE7BDAA" w14:textId="77777777" w:rsidR="00D862D3" w:rsidRDefault="00D862D3" w:rsidP="00892563">
            <w:pPr>
              <w:jc w:val="both"/>
              <w:rPr>
                <w:rFonts w:cstheme="minorHAnsi"/>
                <w:b/>
              </w:rPr>
            </w:pPr>
          </w:p>
          <w:p w14:paraId="6464198E" w14:textId="77777777" w:rsidR="00D862D3" w:rsidRDefault="00D862D3" w:rsidP="00892563">
            <w:pPr>
              <w:jc w:val="both"/>
              <w:rPr>
                <w:rFonts w:cstheme="minorHAnsi"/>
                <w:b/>
              </w:rPr>
            </w:pPr>
          </w:p>
          <w:p w14:paraId="6F35493B" w14:textId="77777777" w:rsidR="00D862D3" w:rsidRDefault="00D862D3" w:rsidP="00892563">
            <w:pPr>
              <w:jc w:val="both"/>
              <w:rPr>
                <w:rFonts w:cstheme="minorHAnsi"/>
                <w:b/>
              </w:rPr>
            </w:pPr>
          </w:p>
          <w:p w14:paraId="6A4744CE" w14:textId="77777777" w:rsidR="00D862D3" w:rsidRPr="005973EB" w:rsidRDefault="00D862D3" w:rsidP="00892563">
            <w:pPr>
              <w:jc w:val="both"/>
              <w:rPr>
                <w:rFonts w:cstheme="minorHAnsi"/>
                <w:b/>
              </w:rPr>
            </w:pPr>
          </w:p>
          <w:p w14:paraId="4B279416" w14:textId="77777777" w:rsidR="00D862D3" w:rsidRDefault="00D862D3" w:rsidP="00892563">
            <w:pPr>
              <w:jc w:val="both"/>
              <w:rPr>
                <w:rFonts w:cstheme="minorHAnsi"/>
                <w:b/>
              </w:rPr>
            </w:pPr>
          </w:p>
        </w:tc>
      </w:tr>
    </w:tbl>
    <w:p w14:paraId="7DC52C31" w14:textId="77777777" w:rsidR="00D862D3" w:rsidRDefault="00D862D3" w:rsidP="00D862D3">
      <w:pPr>
        <w:rPr>
          <w:rFonts w:cstheme="minorHAnsi"/>
          <w:b/>
          <w:lang w:val="cs-CZ"/>
        </w:rPr>
      </w:pPr>
    </w:p>
    <w:p w14:paraId="103D4DA3" w14:textId="77777777" w:rsidR="00D862D3" w:rsidRPr="0097716B" w:rsidRDefault="00D862D3" w:rsidP="00D862D3">
      <w:pPr>
        <w:jc w:val="both"/>
        <w:rPr>
          <w:rFonts w:cstheme="minorHAnsi"/>
          <w:b/>
          <w:sz w:val="22"/>
          <w:szCs w:val="22"/>
          <w:lang w:val="cs-CZ"/>
        </w:rPr>
      </w:pPr>
      <w:r w:rsidRPr="0097716B">
        <w:rPr>
          <w:rFonts w:cstheme="minorHAnsi"/>
          <w:b/>
          <w:sz w:val="22"/>
          <w:szCs w:val="22"/>
          <w:lang w:val="cs-CZ"/>
        </w:rPr>
        <w:t>Odkazy v HTML na podpůrné dokumenty:</w:t>
      </w:r>
    </w:p>
    <w:p w14:paraId="49B208D7" w14:textId="77777777" w:rsidR="007924D6" w:rsidRPr="00375A49" w:rsidRDefault="007924D6" w:rsidP="007924D6">
      <w:pPr>
        <w:jc w:val="both"/>
        <w:rPr>
          <w:b/>
          <w:lang w:val="cs-CZ"/>
        </w:rPr>
      </w:pPr>
    </w:p>
    <w:p w14:paraId="4CD310EE" w14:textId="77777777" w:rsidR="000B5E14" w:rsidRPr="00F34EF2" w:rsidRDefault="000B5E14" w:rsidP="000B5E14">
      <w:pPr>
        <w:jc w:val="both"/>
        <w:rPr>
          <w:rFonts w:ascii="Times New Roman" w:hAnsi="Times New Roman"/>
          <w:bCs/>
          <w:lang w:val="cs-CZ"/>
        </w:rPr>
      </w:pPr>
    </w:p>
    <w:p w14:paraId="55462444" w14:textId="39265DF4" w:rsidR="00F34EF2" w:rsidRDefault="00F34EF2" w:rsidP="00BC0670">
      <w:pPr>
        <w:rPr>
          <w:b/>
          <w:lang w:val="cs-CZ"/>
        </w:rPr>
      </w:pPr>
    </w:p>
    <w:p w14:paraId="5CD25881" w14:textId="77777777" w:rsidR="002045EE" w:rsidRDefault="002045EE" w:rsidP="00BC0670">
      <w:pPr>
        <w:rPr>
          <w:b/>
          <w:lang w:val="cs-CZ"/>
        </w:rPr>
      </w:pPr>
    </w:p>
    <w:tbl>
      <w:tblPr>
        <w:tblStyle w:val="Mkatabulky"/>
        <w:tblW w:w="9356" w:type="dxa"/>
        <w:tblInd w:w="-147" w:type="dxa"/>
        <w:tblLook w:val="04A0" w:firstRow="1" w:lastRow="0" w:firstColumn="1" w:lastColumn="0" w:noHBand="0" w:noVBand="1"/>
      </w:tblPr>
      <w:tblGrid>
        <w:gridCol w:w="9356"/>
      </w:tblGrid>
      <w:tr w:rsidR="000B5E14" w14:paraId="7D5C68ED" w14:textId="77777777" w:rsidTr="00F34EF2">
        <w:tc>
          <w:tcPr>
            <w:tcW w:w="9356" w:type="dxa"/>
          </w:tcPr>
          <w:p w14:paraId="6876BC95" w14:textId="77777777" w:rsidR="00D33444" w:rsidRDefault="00D33444" w:rsidP="00BC0670">
            <w:pPr>
              <w:shd w:val="clear" w:color="auto" w:fill="90BDC5"/>
              <w:jc w:val="both"/>
              <w:rPr>
                <w:b/>
              </w:rPr>
            </w:pPr>
            <w:r w:rsidRPr="00375A49">
              <w:rPr>
                <w:b/>
              </w:rPr>
              <w:t xml:space="preserve">4.9 Pravidla financování doktorských studentů, včetně zahraničních </w:t>
            </w:r>
          </w:p>
          <w:p w14:paraId="1C0E9BA5" w14:textId="2E2D82D0" w:rsidR="000B5E14" w:rsidRPr="00D33444" w:rsidRDefault="00D33444" w:rsidP="00BC0670">
            <w:pPr>
              <w:shd w:val="clear" w:color="auto" w:fill="90BDC5"/>
              <w:jc w:val="both"/>
            </w:pPr>
            <w:r w:rsidRPr="00427A51">
              <w:t>(stimulační a motivační nástroje)</w:t>
            </w:r>
            <w:r w:rsidR="000B5E14" w:rsidRPr="005F7675">
              <w:rPr>
                <w:b/>
              </w:rPr>
              <w:t xml:space="preserve">  </w:t>
            </w:r>
          </w:p>
          <w:p w14:paraId="7775CD93" w14:textId="08D5CA67" w:rsidR="00D33444" w:rsidRPr="0096628E" w:rsidRDefault="0096628E" w:rsidP="00D33444">
            <w:pPr>
              <w:jc w:val="both"/>
              <w:rPr>
                <w:rFonts w:cstheme="minorHAnsi"/>
                <w:i/>
              </w:rPr>
            </w:pPr>
            <w:r w:rsidRPr="0096628E">
              <w:rPr>
                <w:color w:val="808080" w:themeColor="background1" w:themeShade="80"/>
              </w:rPr>
              <w:t>Vysoká škola poskytne informace o způsobech financování doktorských studentů (dále též Ph.D. studentů), včetně zahraničních studentů, a to informace jak o osobních nákladech (stipendia), tak o ostatních nákladech. Vysoká škola dále uvede konkrétní stimulační a motivační nástroje finanční podpory doktorského studia nad rámec pravidelného stipendia.</w:t>
            </w:r>
          </w:p>
        </w:tc>
      </w:tr>
    </w:tbl>
    <w:p w14:paraId="4CD1CD7E" w14:textId="77777777" w:rsidR="00D862D3" w:rsidRPr="005973EB" w:rsidRDefault="00D862D3" w:rsidP="00D862D3">
      <w:pPr>
        <w:jc w:val="both"/>
        <w:rPr>
          <w:rFonts w:cstheme="minorHAnsi"/>
          <w:b/>
          <w:sz w:val="20"/>
          <w:szCs w:val="20"/>
          <w:lang w:val="cs-CZ"/>
        </w:rPr>
      </w:pPr>
    </w:p>
    <w:tbl>
      <w:tblPr>
        <w:tblStyle w:val="Mkatabulky"/>
        <w:tblW w:w="0" w:type="auto"/>
        <w:tblInd w:w="-147" w:type="dxa"/>
        <w:tblLook w:val="04A0" w:firstRow="1" w:lastRow="0" w:firstColumn="1" w:lastColumn="0" w:noHBand="0" w:noVBand="1"/>
      </w:tblPr>
      <w:tblGrid>
        <w:gridCol w:w="9356"/>
      </w:tblGrid>
      <w:tr w:rsidR="00D862D3" w14:paraId="6AC26ABA" w14:textId="77777777" w:rsidTr="00DD6DC8">
        <w:tc>
          <w:tcPr>
            <w:tcW w:w="9356" w:type="dxa"/>
          </w:tcPr>
          <w:p w14:paraId="27C52EEB" w14:textId="77777777" w:rsidR="00D862D3" w:rsidRDefault="00D862D3" w:rsidP="00892563">
            <w:pPr>
              <w:jc w:val="both"/>
              <w:rPr>
                <w:rFonts w:cstheme="minorHAnsi"/>
                <w:b/>
              </w:rPr>
            </w:pPr>
            <w:r>
              <w:rPr>
                <w:rFonts w:cstheme="minorHAnsi"/>
                <w:b/>
              </w:rPr>
              <w:t>S</w:t>
            </w:r>
            <w:r w:rsidRPr="005973EB">
              <w:rPr>
                <w:rFonts w:cstheme="minorHAnsi"/>
                <w:b/>
              </w:rPr>
              <w:t>ebehodnocení:</w:t>
            </w:r>
          </w:p>
          <w:p w14:paraId="52A5C689" w14:textId="77777777" w:rsidR="00D862D3" w:rsidRDefault="00D862D3" w:rsidP="00892563">
            <w:pPr>
              <w:jc w:val="both"/>
              <w:rPr>
                <w:rFonts w:cstheme="minorHAnsi"/>
                <w:b/>
              </w:rPr>
            </w:pPr>
          </w:p>
          <w:p w14:paraId="3CBE5574" w14:textId="77777777" w:rsidR="00D862D3" w:rsidRDefault="00D862D3" w:rsidP="00892563">
            <w:pPr>
              <w:jc w:val="both"/>
              <w:rPr>
                <w:rFonts w:cstheme="minorHAnsi"/>
                <w:b/>
              </w:rPr>
            </w:pPr>
          </w:p>
          <w:p w14:paraId="6CE11B41" w14:textId="77777777" w:rsidR="00D862D3" w:rsidRDefault="00D862D3" w:rsidP="00892563">
            <w:pPr>
              <w:jc w:val="both"/>
              <w:rPr>
                <w:rFonts w:cstheme="minorHAnsi"/>
                <w:b/>
              </w:rPr>
            </w:pPr>
          </w:p>
          <w:p w14:paraId="11790506" w14:textId="77777777" w:rsidR="00D862D3" w:rsidRDefault="00D862D3" w:rsidP="00892563">
            <w:pPr>
              <w:jc w:val="both"/>
              <w:rPr>
                <w:rFonts w:cstheme="minorHAnsi"/>
                <w:b/>
              </w:rPr>
            </w:pPr>
          </w:p>
        </w:tc>
      </w:tr>
    </w:tbl>
    <w:p w14:paraId="7AD6BCAB" w14:textId="77777777" w:rsidR="00D862D3" w:rsidRPr="0097716B" w:rsidRDefault="00D862D3" w:rsidP="00D862D3">
      <w:pPr>
        <w:jc w:val="both"/>
        <w:rPr>
          <w:rFonts w:cstheme="minorHAnsi"/>
          <w:b/>
          <w:sz w:val="22"/>
          <w:szCs w:val="22"/>
          <w:lang w:val="cs-CZ"/>
        </w:rPr>
      </w:pPr>
      <w:r w:rsidRPr="0097716B">
        <w:rPr>
          <w:rFonts w:cstheme="minorHAnsi"/>
          <w:b/>
          <w:sz w:val="22"/>
          <w:szCs w:val="22"/>
          <w:lang w:val="cs-CZ"/>
        </w:rPr>
        <w:lastRenderedPageBreak/>
        <w:t>Odkazy v HTML na podpůrné dokumenty:</w:t>
      </w:r>
    </w:p>
    <w:p w14:paraId="5D3234EC" w14:textId="77777777" w:rsidR="000B5E14" w:rsidRDefault="000B5E14" w:rsidP="000B5E14">
      <w:pPr>
        <w:jc w:val="both"/>
        <w:rPr>
          <w:rFonts w:cstheme="minorHAnsi"/>
          <w:b/>
          <w:sz w:val="20"/>
          <w:szCs w:val="20"/>
          <w:lang w:val="cs-CZ"/>
        </w:rPr>
      </w:pPr>
    </w:p>
    <w:p w14:paraId="1E6F20CB" w14:textId="77777777" w:rsidR="000B5E14" w:rsidRPr="00375A49" w:rsidRDefault="000B5E14" w:rsidP="000B5E14">
      <w:pPr>
        <w:jc w:val="both"/>
        <w:rPr>
          <w:i/>
          <w:lang w:val="cs-CZ"/>
        </w:rPr>
      </w:pPr>
    </w:p>
    <w:p w14:paraId="02A28CBD" w14:textId="77777777" w:rsidR="000B5E14" w:rsidRDefault="000B5E14" w:rsidP="008D0FCF">
      <w:pPr>
        <w:jc w:val="both"/>
        <w:rPr>
          <w:b/>
          <w:lang w:val="cs-CZ"/>
        </w:rPr>
      </w:pPr>
    </w:p>
    <w:p w14:paraId="6C26FD6C" w14:textId="77777777" w:rsidR="002045EE" w:rsidRDefault="002045EE" w:rsidP="008D0FCF">
      <w:pPr>
        <w:jc w:val="both"/>
        <w:rPr>
          <w:b/>
          <w:lang w:val="cs-CZ"/>
        </w:rPr>
      </w:pPr>
    </w:p>
    <w:p w14:paraId="2C551741" w14:textId="586314EF" w:rsidR="00473A6D" w:rsidRPr="002045EE" w:rsidRDefault="00473A6D" w:rsidP="002045EE">
      <w:pPr>
        <w:pStyle w:val="Nadpis3"/>
        <w:rPr>
          <w:rFonts w:cstheme="minorHAnsi"/>
          <w:lang w:val="cs-CZ"/>
        </w:rPr>
      </w:pPr>
      <w:bookmarkStart w:id="14" w:name="_Toc13829024"/>
      <w:r w:rsidRPr="00473A6D">
        <w:rPr>
          <w:lang w:val="cs-CZ"/>
        </w:rPr>
        <w:t>NÁRODNÍ A MEZINÁRODNÍ SPOLUPRÁCE A MOBILITA VE VAVAI</w:t>
      </w:r>
      <w:bookmarkEnd w:id="14"/>
      <w:r w:rsidRPr="00473A6D">
        <w:rPr>
          <w:lang w:val="cs-CZ"/>
        </w:rPr>
        <w:t xml:space="preserve"> </w:t>
      </w:r>
    </w:p>
    <w:p w14:paraId="444482CC" w14:textId="77777777" w:rsidR="00473A6D" w:rsidRDefault="00473A6D" w:rsidP="00473A6D">
      <w:pPr>
        <w:jc w:val="both"/>
        <w:rPr>
          <w:b/>
          <w:lang w:val="cs-CZ"/>
        </w:rPr>
      </w:pPr>
    </w:p>
    <w:tbl>
      <w:tblPr>
        <w:tblStyle w:val="Mkatabulky"/>
        <w:tblW w:w="9209" w:type="dxa"/>
        <w:tblLook w:val="04A0" w:firstRow="1" w:lastRow="0" w:firstColumn="1" w:lastColumn="0" w:noHBand="0" w:noVBand="1"/>
      </w:tblPr>
      <w:tblGrid>
        <w:gridCol w:w="9209"/>
      </w:tblGrid>
      <w:tr w:rsidR="00473A6D" w14:paraId="1772B9D8" w14:textId="77777777" w:rsidTr="00686516">
        <w:tc>
          <w:tcPr>
            <w:tcW w:w="9209" w:type="dxa"/>
          </w:tcPr>
          <w:p w14:paraId="135AA893" w14:textId="0A2C895C" w:rsidR="00473A6D" w:rsidRPr="005F7675" w:rsidRDefault="00473A6D" w:rsidP="00BC0670">
            <w:pPr>
              <w:shd w:val="clear" w:color="auto" w:fill="90BDC5"/>
              <w:jc w:val="both"/>
              <w:rPr>
                <w:b/>
              </w:rPr>
            </w:pPr>
            <w:r w:rsidRPr="00375A49">
              <w:rPr>
                <w:b/>
              </w:rPr>
              <w:t xml:space="preserve">4.10 Významné spolupráce ve </w:t>
            </w:r>
            <w:r>
              <w:rPr>
                <w:b/>
              </w:rPr>
              <w:t>VaVaI</w:t>
            </w:r>
            <w:r w:rsidRPr="00375A49">
              <w:rPr>
                <w:b/>
              </w:rPr>
              <w:t xml:space="preserve"> na národní úrovni</w:t>
            </w:r>
            <w:r w:rsidRPr="005F7675">
              <w:rPr>
                <w:b/>
              </w:rPr>
              <w:t xml:space="preserve">  </w:t>
            </w:r>
          </w:p>
          <w:p w14:paraId="1801C86D" w14:textId="3DAD149B" w:rsidR="00473A6D" w:rsidRPr="0096628E" w:rsidRDefault="0096628E" w:rsidP="00473A6D">
            <w:pPr>
              <w:jc w:val="both"/>
              <w:rPr>
                <w:i/>
              </w:rPr>
            </w:pPr>
            <w:r w:rsidRPr="0096628E">
              <w:rPr>
                <w:color w:val="808080" w:themeColor="background1" w:themeShade="80"/>
              </w:rPr>
              <w:t>Vysoká škola popíše (nanejvýše</w:t>
            </w:r>
            <w:r w:rsidRPr="0096628E" w:rsidDel="00A3439A">
              <w:rPr>
                <w:color w:val="808080" w:themeColor="background1" w:themeShade="80"/>
              </w:rPr>
              <w:t xml:space="preserve"> </w:t>
            </w:r>
            <w:r w:rsidRPr="0096628E">
              <w:rPr>
                <w:color w:val="808080" w:themeColor="background1" w:themeShade="80"/>
              </w:rPr>
              <w:t>na 5 příkladech) konkrétní případy  spolupráce ve VaVaI na národní úrovni.</w:t>
            </w:r>
          </w:p>
        </w:tc>
      </w:tr>
    </w:tbl>
    <w:p w14:paraId="1B10E116" w14:textId="77777777" w:rsidR="00D862D3" w:rsidRPr="005973EB" w:rsidRDefault="00D862D3" w:rsidP="00D862D3">
      <w:pPr>
        <w:jc w:val="both"/>
        <w:rPr>
          <w:rFonts w:cstheme="minorHAnsi"/>
          <w:b/>
          <w:sz w:val="20"/>
          <w:szCs w:val="20"/>
          <w:lang w:val="cs-CZ"/>
        </w:rPr>
      </w:pPr>
    </w:p>
    <w:tbl>
      <w:tblPr>
        <w:tblStyle w:val="Mkatabulky"/>
        <w:tblW w:w="0" w:type="auto"/>
        <w:tblLook w:val="04A0" w:firstRow="1" w:lastRow="0" w:firstColumn="1" w:lastColumn="0" w:noHBand="0" w:noVBand="1"/>
      </w:tblPr>
      <w:tblGrid>
        <w:gridCol w:w="9209"/>
      </w:tblGrid>
      <w:tr w:rsidR="00D862D3" w14:paraId="681717B0" w14:textId="77777777" w:rsidTr="00892563">
        <w:tc>
          <w:tcPr>
            <w:tcW w:w="9209" w:type="dxa"/>
          </w:tcPr>
          <w:p w14:paraId="7197D14C" w14:textId="77777777" w:rsidR="00D862D3" w:rsidRDefault="00D862D3" w:rsidP="00892563">
            <w:pPr>
              <w:jc w:val="both"/>
              <w:rPr>
                <w:rFonts w:cstheme="minorHAnsi"/>
                <w:b/>
              </w:rPr>
            </w:pPr>
            <w:r>
              <w:rPr>
                <w:rFonts w:cstheme="minorHAnsi"/>
                <w:b/>
              </w:rPr>
              <w:t>S</w:t>
            </w:r>
            <w:r w:rsidRPr="005973EB">
              <w:rPr>
                <w:rFonts w:cstheme="minorHAnsi"/>
                <w:b/>
              </w:rPr>
              <w:t>ebehodnocení:</w:t>
            </w:r>
          </w:p>
          <w:p w14:paraId="68453550" w14:textId="77777777" w:rsidR="00D862D3" w:rsidRDefault="00D862D3" w:rsidP="00892563">
            <w:pPr>
              <w:jc w:val="both"/>
              <w:rPr>
                <w:rFonts w:cstheme="minorHAnsi"/>
                <w:b/>
              </w:rPr>
            </w:pPr>
          </w:p>
          <w:p w14:paraId="421B1CB2" w14:textId="77777777" w:rsidR="00D862D3" w:rsidRDefault="00D862D3" w:rsidP="00892563">
            <w:pPr>
              <w:jc w:val="both"/>
              <w:rPr>
                <w:rFonts w:cstheme="minorHAnsi"/>
                <w:b/>
              </w:rPr>
            </w:pPr>
          </w:p>
          <w:p w14:paraId="2528C251" w14:textId="77777777" w:rsidR="00D862D3" w:rsidRDefault="00D862D3" w:rsidP="00892563">
            <w:pPr>
              <w:jc w:val="both"/>
              <w:rPr>
                <w:rFonts w:cstheme="minorHAnsi"/>
                <w:b/>
              </w:rPr>
            </w:pPr>
          </w:p>
          <w:p w14:paraId="27B35540" w14:textId="77777777" w:rsidR="00D862D3" w:rsidRDefault="00D862D3" w:rsidP="00892563">
            <w:pPr>
              <w:jc w:val="both"/>
              <w:rPr>
                <w:rFonts w:cstheme="minorHAnsi"/>
                <w:b/>
              </w:rPr>
            </w:pPr>
          </w:p>
          <w:p w14:paraId="25DA3817" w14:textId="77777777" w:rsidR="00D862D3" w:rsidRDefault="00D862D3" w:rsidP="00892563">
            <w:pPr>
              <w:jc w:val="both"/>
              <w:rPr>
                <w:rFonts w:cstheme="minorHAnsi"/>
                <w:b/>
              </w:rPr>
            </w:pPr>
          </w:p>
          <w:p w14:paraId="3FA69AE7" w14:textId="77777777" w:rsidR="00D862D3" w:rsidRPr="005973EB" w:rsidRDefault="00D862D3" w:rsidP="00892563">
            <w:pPr>
              <w:jc w:val="both"/>
              <w:rPr>
                <w:rFonts w:cstheme="minorHAnsi"/>
                <w:b/>
              </w:rPr>
            </w:pPr>
          </w:p>
          <w:p w14:paraId="759173DF" w14:textId="77777777" w:rsidR="00D862D3" w:rsidRDefault="00D862D3" w:rsidP="00892563">
            <w:pPr>
              <w:jc w:val="both"/>
              <w:rPr>
                <w:rFonts w:cstheme="minorHAnsi"/>
                <w:b/>
              </w:rPr>
            </w:pPr>
          </w:p>
        </w:tc>
      </w:tr>
    </w:tbl>
    <w:p w14:paraId="58F4A782" w14:textId="77777777" w:rsidR="00D862D3" w:rsidRDefault="00D862D3" w:rsidP="00D862D3">
      <w:pPr>
        <w:rPr>
          <w:rFonts w:cstheme="minorHAnsi"/>
          <w:b/>
          <w:lang w:val="cs-CZ"/>
        </w:rPr>
      </w:pPr>
    </w:p>
    <w:p w14:paraId="3CCB07A2" w14:textId="77777777" w:rsidR="00D862D3" w:rsidRPr="0097716B" w:rsidRDefault="00D862D3" w:rsidP="00D862D3">
      <w:pPr>
        <w:jc w:val="both"/>
        <w:rPr>
          <w:rFonts w:cstheme="minorHAnsi"/>
          <w:b/>
          <w:sz w:val="22"/>
          <w:szCs w:val="22"/>
          <w:lang w:val="cs-CZ"/>
        </w:rPr>
      </w:pPr>
      <w:r w:rsidRPr="0097716B">
        <w:rPr>
          <w:rFonts w:cstheme="minorHAnsi"/>
          <w:b/>
          <w:sz w:val="22"/>
          <w:szCs w:val="22"/>
          <w:lang w:val="cs-CZ"/>
        </w:rPr>
        <w:t>Odkazy v HTML na podpůrné dokumenty:</w:t>
      </w:r>
    </w:p>
    <w:p w14:paraId="27504872" w14:textId="77777777" w:rsidR="00473A6D" w:rsidRDefault="00473A6D" w:rsidP="00473A6D">
      <w:pPr>
        <w:jc w:val="both"/>
        <w:rPr>
          <w:rFonts w:cstheme="minorHAnsi"/>
          <w:b/>
          <w:sz w:val="20"/>
          <w:szCs w:val="20"/>
          <w:lang w:val="cs-CZ"/>
        </w:rPr>
      </w:pPr>
    </w:p>
    <w:p w14:paraId="784CFF75" w14:textId="77777777" w:rsidR="00473A6D" w:rsidRDefault="00473A6D" w:rsidP="00473A6D">
      <w:pPr>
        <w:jc w:val="both"/>
        <w:rPr>
          <w:b/>
          <w:lang w:val="cs-CZ"/>
        </w:rPr>
      </w:pPr>
    </w:p>
    <w:p w14:paraId="4DF80100" w14:textId="77777777" w:rsidR="00473A6D" w:rsidRDefault="00473A6D" w:rsidP="00473A6D">
      <w:pPr>
        <w:jc w:val="both"/>
        <w:rPr>
          <w:b/>
          <w:lang w:val="cs-CZ"/>
        </w:rPr>
      </w:pPr>
    </w:p>
    <w:p w14:paraId="16D7D686" w14:textId="77777777" w:rsidR="0024203F" w:rsidRDefault="0024203F" w:rsidP="00473A6D">
      <w:pPr>
        <w:jc w:val="both"/>
        <w:rPr>
          <w:b/>
          <w:lang w:val="cs-CZ"/>
        </w:rPr>
      </w:pPr>
    </w:p>
    <w:tbl>
      <w:tblPr>
        <w:tblStyle w:val="Mkatabulky"/>
        <w:tblW w:w="9209" w:type="dxa"/>
        <w:tblLook w:val="04A0" w:firstRow="1" w:lastRow="0" w:firstColumn="1" w:lastColumn="0" w:noHBand="0" w:noVBand="1"/>
      </w:tblPr>
      <w:tblGrid>
        <w:gridCol w:w="9209"/>
      </w:tblGrid>
      <w:tr w:rsidR="00473A6D" w14:paraId="113A6BA7" w14:textId="77777777" w:rsidTr="00686516">
        <w:tc>
          <w:tcPr>
            <w:tcW w:w="9209" w:type="dxa"/>
          </w:tcPr>
          <w:p w14:paraId="3E4B30B2" w14:textId="4DA8F4ED" w:rsidR="00473A6D" w:rsidRPr="005F7675" w:rsidRDefault="00473A6D" w:rsidP="00BC0670">
            <w:pPr>
              <w:shd w:val="clear" w:color="auto" w:fill="90BDC5"/>
              <w:jc w:val="both"/>
              <w:rPr>
                <w:b/>
              </w:rPr>
            </w:pPr>
            <w:r w:rsidRPr="0017416E">
              <w:rPr>
                <w:b/>
              </w:rPr>
              <w:t xml:space="preserve">4.11 Významné spolupráce ve </w:t>
            </w:r>
            <w:r>
              <w:rPr>
                <w:b/>
              </w:rPr>
              <w:t>VaVaI</w:t>
            </w:r>
            <w:r w:rsidRPr="0017416E">
              <w:rPr>
                <w:b/>
              </w:rPr>
              <w:t xml:space="preserve"> na mezinárodní úrovni</w:t>
            </w:r>
            <w:r w:rsidRPr="005F7675">
              <w:rPr>
                <w:b/>
              </w:rPr>
              <w:t xml:space="preserve">  </w:t>
            </w:r>
          </w:p>
          <w:p w14:paraId="11EBEEDD" w14:textId="77777777" w:rsidR="0096628E" w:rsidRPr="0096628E" w:rsidRDefault="0096628E" w:rsidP="0096628E">
            <w:pPr>
              <w:jc w:val="both"/>
              <w:rPr>
                <w:color w:val="808080" w:themeColor="background1" w:themeShade="80"/>
              </w:rPr>
            </w:pPr>
            <w:r w:rsidRPr="0096628E">
              <w:rPr>
                <w:color w:val="808080" w:themeColor="background1" w:themeShade="80"/>
              </w:rPr>
              <w:t>Vysoká škola popíše (nanejvýše</w:t>
            </w:r>
            <w:r w:rsidRPr="0096628E" w:rsidDel="00C1438F">
              <w:rPr>
                <w:color w:val="808080" w:themeColor="background1" w:themeShade="80"/>
              </w:rPr>
              <w:t xml:space="preserve"> </w:t>
            </w:r>
            <w:r w:rsidRPr="0096628E">
              <w:rPr>
                <w:color w:val="808080" w:themeColor="background1" w:themeShade="80"/>
              </w:rPr>
              <w:t xml:space="preserve">na 10 příkladech) konkrétní případy spolupráce ve VaVaI na mezinárodní úrovni. </w:t>
            </w:r>
          </w:p>
          <w:p w14:paraId="6597F261" w14:textId="1AC315C6" w:rsidR="00473A6D" w:rsidRPr="0096628E" w:rsidRDefault="0096628E" w:rsidP="00473A6D">
            <w:pPr>
              <w:jc w:val="both"/>
              <w:rPr>
                <w:i/>
              </w:rPr>
            </w:pPr>
            <w:r w:rsidRPr="0096628E">
              <w:rPr>
                <w:color w:val="808080" w:themeColor="background1" w:themeShade="80"/>
              </w:rPr>
              <w:t>Vysoká škola specifikuje formy mezinárodní spolupráce stručně dle vlastního uvážení. Dále na nanejvýše</w:t>
            </w:r>
            <w:r w:rsidRPr="0096628E" w:rsidDel="00C1438F">
              <w:rPr>
                <w:color w:val="808080" w:themeColor="background1" w:themeShade="80"/>
              </w:rPr>
              <w:t xml:space="preserve"> </w:t>
            </w:r>
            <w:r w:rsidRPr="0096628E">
              <w:rPr>
                <w:color w:val="808080" w:themeColor="background1" w:themeShade="80"/>
              </w:rPr>
              <w:t>10 příkladech uvede stručně a konkrétně výsledky a dopady do oblasti VaVaI plynoucí pro vysokou školu z mezinárodní spolupráce popsané výše.</w:t>
            </w:r>
          </w:p>
        </w:tc>
      </w:tr>
    </w:tbl>
    <w:p w14:paraId="53F0B0C9" w14:textId="77777777" w:rsidR="00D862D3" w:rsidRPr="005973EB" w:rsidRDefault="00D862D3" w:rsidP="00D862D3">
      <w:pPr>
        <w:jc w:val="both"/>
        <w:rPr>
          <w:rFonts w:cstheme="minorHAnsi"/>
          <w:b/>
          <w:sz w:val="20"/>
          <w:szCs w:val="20"/>
          <w:lang w:val="cs-CZ"/>
        </w:rPr>
      </w:pPr>
    </w:p>
    <w:tbl>
      <w:tblPr>
        <w:tblStyle w:val="Mkatabulky"/>
        <w:tblW w:w="0" w:type="auto"/>
        <w:tblLook w:val="04A0" w:firstRow="1" w:lastRow="0" w:firstColumn="1" w:lastColumn="0" w:noHBand="0" w:noVBand="1"/>
      </w:tblPr>
      <w:tblGrid>
        <w:gridCol w:w="9209"/>
      </w:tblGrid>
      <w:tr w:rsidR="00D862D3" w14:paraId="2550926E" w14:textId="77777777" w:rsidTr="00892563">
        <w:tc>
          <w:tcPr>
            <w:tcW w:w="9209" w:type="dxa"/>
          </w:tcPr>
          <w:p w14:paraId="53BAEE2D" w14:textId="77777777" w:rsidR="00D862D3" w:rsidRDefault="00D862D3" w:rsidP="00892563">
            <w:pPr>
              <w:jc w:val="both"/>
              <w:rPr>
                <w:rFonts w:cstheme="minorHAnsi"/>
                <w:b/>
              </w:rPr>
            </w:pPr>
            <w:r>
              <w:rPr>
                <w:rFonts w:cstheme="minorHAnsi"/>
                <w:b/>
              </w:rPr>
              <w:t>S</w:t>
            </w:r>
            <w:r w:rsidRPr="005973EB">
              <w:rPr>
                <w:rFonts w:cstheme="minorHAnsi"/>
                <w:b/>
              </w:rPr>
              <w:t>ebehodnocení:</w:t>
            </w:r>
          </w:p>
          <w:p w14:paraId="45502869" w14:textId="77777777" w:rsidR="00D862D3" w:rsidRDefault="00D862D3" w:rsidP="00892563">
            <w:pPr>
              <w:jc w:val="both"/>
              <w:rPr>
                <w:rFonts w:cstheme="minorHAnsi"/>
                <w:b/>
              </w:rPr>
            </w:pPr>
          </w:p>
          <w:p w14:paraId="263DE64C" w14:textId="77777777" w:rsidR="00D862D3" w:rsidRDefault="00D862D3" w:rsidP="00892563">
            <w:pPr>
              <w:jc w:val="both"/>
              <w:rPr>
                <w:rFonts w:cstheme="minorHAnsi"/>
                <w:b/>
              </w:rPr>
            </w:pPr>
          </w:p>
          <w:p w14:paraId="2FB8A982" w14:textId="77777777" w:rsidR="00D862D3" w:rsidRDefault="00D862D3" w:rsidP="00892563">
            <w:pPr>
              <w:jc w:val="both"/>
              <w:rPr>
                <w:rFonts w:cstheme="minorHAnsi"/>
                <w:b/>
              </w:rPr>
            </w:pPr>
          </w:p>
          <w:p w14:paraId="5A4BA708" w14:textId="77777777" w:rsidR="00D862D3" w:rsidRDefault="00D862D3" w:rsidP="00892563">
            <w:pPr>
              <w:jc w:val="both"/>
              <w:rPr>
                <w:rFonts w:cstheme="minorHAnsi"/>
                <w:b/>
              </w:rPr>
            </w:pPr>
          </w:p>
          <w:p w14:paraId="2353D0B3" w14:textId="77777777" w:rsidR="00D862D3" w:rsidRPr="005973EB" w:rsidRDefault="00D862D3" w:rsidP="00892563">
            <w:pPr>
              <w:jc w:val="both"/>
              <w:rPr>
                <w:rFonts w:cstheme="minorHAnsi"/>
                <w:b/>
              </w:rPr>
            </w:pPr>
          </w:p>
          <w:p w14:paraId="617A20FE" w14:textId="77777777" w:rsidR="00D862D3" w:rsidRDefault="00D862D3" w:rsidP="00892563">
            <w:pPr>
              <w:jc w:val="both"/>
              <w:rPr>
                <w:rFonts w:cstheme="minorHAnsi"/>
                <w:b/>
              </w:rPr>
            </w:pPr>
          </w:p>
        </w:tc>
      </w:tr>
    </w:tbl>
    <w:p w14:paraId="1F0E5DDB" w14:textId="77777777" w:rsidR="00D862D3" w:rsidRDefault="00D862D3" w:rsidP="00D862D3">
      <w:pPr>
        <w:rPr>
          <w:rFonts w:cstheme="minorHAnsi"/>
          <w:b/>
          <w:lang w:val="cs-CZ"/>
        </w:rPr>
      </w:pPr>
    </w:p>
    <w:p w14:paraId="05335083" w14:textId="77777777" w:rsidR="00D862D3" w:rsidRPr="0097716B" w:rsidRDefault="00D862D3" w:rsidP="00D862D3">
      <w:pPr>
        <w:jc w:val="both"/>
        <w:rPr>
          <w:rFonts w:cstheme="minorHAnsi"/>
          <w:b/>
          <w:sz w:val="22"/>
          <w:szCs w:val="22"/>
          <w:lang w:val="cs-CZ"/>
        </w:rPr>
      </w:pPr>
      <w:r w:rsidRPr="0097716B">
        <w:rPr>
          <w:rFonts w:cstheme="minorHAnsi"/>
          <w:b/>
          <w:sz w:val="22"/>
          <w:szCs w:val="22"/>
          <w:lang w:val="cs-CZ"/>
        </w:rPr>
        <w:t>Odkazy v HTML na podpůrné dokumenty:</w:t>
      </w:r>
    </w:p>
    <w:p w14:paraId="0940952D" w14:textId="77777777" w:rsidR="00473A6D" w:rsidRDefault="00473A6D" w:rsidP="00473A6D">
      <w:pPr>
        <w:jc w:val="both"/>
        <w:rPr>
          <w:rFonts w:cstheme="minorHAnsi"/>
          <w:b/>
          <w:sz w:val="20"/>
          <w:szCs w:val="20"/>
          <w:lang w:val="cs-CZ"/>
        </w:rPr>
      </w:pPr>
    </w:p>
    <w:p w14:paraId="7D7C9D79" w14:textId="3B1FEBB0" w:rsidR="0024203F" w:rsidRDefault="00DD6DC8" w:rsidP="00FE58F8">
      <w:pPr>
        <w:rPr>
          <w:b/>
          <w:lang w:val="cs-CZ"/>
        </w:rPr>
      </w:pPr>
      <w:r>
        <w:rPr>
          <w:b/>
          <w:lang w:val="cs-CZ"/>
        </w:rPr>
        <w:br w:type="page"/>
      </w:r>
    </w:p>
    <w:tbl>
      <w:tblPr>
        <w:tblStyle w:val="Mkatabulky"/>
        <w:tblW w:w="9209" w:type="dxa"/>
        <w:tblLook w:val="04A0" w:firstRow="1" w:lastRow="0" w:firstColumn="1" w:lastColumn="0" w:noHBand="0" w:noVBand="1"/>
      </w:tblPr>
      <w:tblGrid>
        <w:gridCol w:w="9209"/>
      </w:tblGrid>
      <w:tr w:rsidR="00473A6D" w14:paraId="7B82A26B" w14:textId="77777777" w:rsidTr="00686516">
        <w:tc>
          <w:tcPr>
            <w:tcW w:w="9209" w:type="dxa"/>
          </w:tcPr>
          <w:p w14:paraId="6E51E751" w14:textId="32F3AB29" w:rsidR="00473A6D" w:rsidRDefault="00473A6D" w:rsidP="00BC0670">
            <w:pPr>
              <w:shd w:val="clear" w:color="auto" w:fill="90BDC5"/>
              <w:jc w:val="both"/>
              <w:rPr>
                <w:b/>
              </w:rPr>
            </w:pPr>
            <w:r w:rsidRPr="00375A49">
              <w:rPr>
                <w:b/>
              </w:rPr>
              <w:lastRenderedPageBreak/>
              <w:t>4.12 Mobilita akademických a výzkumných pracovníků</w:t>
            </w:r>
            <w:r w:rsidR="00FB7899" w:rsidRPr="00473A6D">
              <w:rPr>
                <w:color w:val="808080" w:themeColor="background1" w:themeShade="80"/>
              </w:rPr>
              <w:t xml:space="preserve"> </w:t>
            </w:r>
            <w:r w:rsidRPr="00375A49">
              <w:rPr>
                <w:b/>
              </w:rPr>
              <w:t xml:space="preserve"> </w:t>
            </w:r>
          </w:p>
          <w:p w14:paraId="4FB1AD4B" w14:textId="5723FCCB" w:rsidR="00473A6D" w:rsidRPr="00375A49" w:rsidRDefault="00473A6D" w:rsidP="00BC0670">
            <w:pPr>
              <w:shd w:val="clear" w:color="auto" w:fill="90BDC5"/>
              <w:jc w:val="both"/>
              <w:rPr>
                <w:b/>
              </w:rPr>
            </w:pPr>
            <w:r w:rsidRPr="00427A51">
              <w:t>(vč. sektorové a mezisektorové mobility)</w:t>
            </w:r>
          </w:p>
          <w:p w14:paraId="65CA2E0C" w14:textId="77777777" w:rsidR="0096628E" w:rsidRPr="0096628E" w:rsidRDefault="0096628E" w:rsidP="0096628E">
            <w:pPr>
              <w:jc w:val="both"/>
              <w:rPr>
                <w:color w:val="808080" w:themeColor="background1" w:themeShade="80"/>
              </w:rPr>
            </w:pPr>
            <w:r w:rsidRPr="0096628E">
              <w:rPr>
                <w:color w:val="808080" w:themeColor="background1" w:themeShade="80"/>
              </w:rPr>
              <w:t>Vysoká škola stručně a strukturovaně popíše mobilitu akademických a výzkumných pracovníků se zachycením následujících podtémat:</w:t>
            </w:r>
          </w:p>
          <w:p w14:paraId="18557334" w14:textId="77777777" w:rsidR="0096628E" w:rsidRPr="0096628E" w:rsidRDefault="0096628E" w:rsidP="000E23E0">
            <w:pPr>
              <w:pStyle w:val="Odstavecseseznamem"/>
              <w:numPr>
                <w:ilvl w:val="0"/>
                <w:numId w:val="1"/>
              </w:numPr>
              <w:jc w:val="both"/>
              <w:rPr>
                <w:color w:val="808080" w:themeColor="background1" w:themeShade="80"/>
              </w:rPr>
            </w:pPr>
            <w:r w:rsidRPr="0096628E">
              <w:rPr>
                <w:color w:val="808080" w:themeColor="background1" w:themeShade="80"/>
              </w:rPr>
              <w:t>mobilita doktorských studentů a akademických pracovníků v souvislosti s VaVaI (strategie, systém, koncepce); uvede nanejvýše</w:t>
            </w:r>
            <w:r w:rsidRPr="0096628E" w:rsidDel="00E05F93">
              <w:rPr>
                <w:color w:val="808080" w:themeColor="background1" w:themeShade="80"/>
              </w:rPr>
              <w:t xml:space="preserve"> </w:t>
            </w:r>
            <w:r w:rsidRPr="0096628E">
              <w:rPr>
                <w:color w:val="808080" w:themeColor="background1" w:themeShade="80"/>
              </w:rPr>
              <w:t>10 konkrétních příkladů, které pokládá za obzvlášť přínosné,</w:t>
            </w:r>
          </w:p>
          <w:p w14:paraId="42C78694" w14:textId="3A4833CD" w:rsidR="00473A6D" w:rsidRPr="0096628E" w:rsidRDefault="0096628E" w:rsidP="000E23E0">
            <w:pPr>
              <w:pStyle w:val="Odstavecseseznamem"/>
              <w:numPr>
                <w:ilvl w:val="0"/>
                <w:numId w:val="1"/>
              </w:numPr>
              <w:jc w:val="both"/>
              <w:rPr>
                <w:i/>
              </w:rPr>
            </w:pPr>
            <w:r w:rsidRPr="0096628E">
              <w:rPr>
                <w:color w:val="808080" w:themeColor="background1" w:themeShade="80"/>
              </w:rPr>
              <w:t>případné bariéry pro mobilitu akademických a výzkumných pracovníků.</w:t>
            </w:r>
          </w:p>
        </w:tc>
      </w:tr>
    </w:tbl>
    <w:p w14:paraId="1CA45CAD" w14:textId="77777777" w:rsidR="00D862D3" w:rsidRPr="005973EB" w:rsidRDefault="00D862D3" w:rsidP="00D862D3">
      <w:pPr>
        <w:jc w:val="both"/>
        <w:rPr>
          <w:rFonts w:cstheme="minorHAnsi"/>
          <w:b/>
          <w:sz w:val="20"/>
          <w:szCs w:val="20"/>
          <w:lang w:val="cs-CZ"/>
        </w:rPr>
      </w:pPr>
    </w:p>
    <w:tbl>
      <w:tblPr>
        <w:tblStyle w:val="Mkatabulky"/>
        <w:tblW w:w="0" w:type="auto"/>
        <w:tblLook w:val="04A0" w:firstRow="1" w:lastRow="0" w:firstColumn="1" w:lastColumn="0" w:noHBand="0" w:noVBand="1"/>
      </w:tblPr>
      <w:tblGrid>
        <w:gridCol w:w="9209"/>
      </w:tblGrid>
      <w:tr w:rsidR="00D862D3" w14:paraId="66E4FBE1" w14:textId="77777777" w:rsidTr="00892563">
        <w:tc>
          <w:tcPr>
            <w:tcW w:w="9209" w:type="dxa"/>
          </w:tcPr>
          <w:p w14:paraId="68841D54" w14:textId="77777777" w:rsidR="00D862D3" w:rsidRDefault="00D862D3" w:rsidP="00892563">
            <w:pPr>
              <w:jc w:val="both"/>
              <w:rPr>
                <w:rFonts w:cstheme="minorHAnsi"/>
                <w:b/>
              </w:rPr>
            </w:pPr>
            <w:r>
              <w:rPr>
                <w:rFonts w:cstheme="minorHAnsi"/>
                <w:b/>
              </w:rPr>
              <w:t>S</w:t>
            </w:r>
            <w:r w:rsidRPr="005973EB">
              <w:rPr>
                <w:rFonts w:cstheme="minorHAnsi"/>
                <w:b/>
              </w:rPr>
              <w:t>ebehodnocení:</w:t>
            </w:r>
          </w:p>
          <w:p w14:paraId="2F662078" w14:textId="77777777" w:rsidR="00D862D3" w:rsidRDefault="00D862D3" w:rsidP="00892563">
            <w:pPr>
              <w:jc w:val="both"/>
              <w:rPr>
                <w:rFonts w:cstheme="minorHAnsi"/>
                <w:b/>
              </w:rPr>
            </w:pPr>
          </w:p>
          <w:p w14:paraId="7BF86638" w14:textId="77777777" w:rsidR="00D862D3" w:rsidRDefault="00D862D3" w:rsidP="00892563">
            <w:pPr>
              <w:jc w:val="both"/>
              <w:rPr>
                <w:rFonts w:cstheme="minorHAnsi"/>
                <w:b/>
              </w:rPr>
            </w:pPr>
          </w:p>
          <w:p w14:paraId="03766F41" w14:textId="77777777" w:rsidR="00D862D3" w:rsidRDefault="00D862D3" w:rsidP="00892563">
            <w:pPr>
              <w:jc w:val="both"/>
              <w:rPr>
                <w:rFonts w:cstheme="minorHAnsi"/>
                <w:b/>
              </w:rPr>
            </w:pPr>
          </w:p>
          <w:p w14:paraId="7196BC4B" w14:textId="77777777" w:rsidR="00D862D3" w:rsidRDefault="00D862D3" w:rsidP="00892563">
            <w:pPr>
              <w:jc w:val="both"/>
              <w:rPr>
                <w:rFonts w:cstheme="minorHAnsi"/>
                <w:b/>
              </w:rPr>
            </w:pPr>
          </w:p>
          <w:p w14:paraId="3EC2857A" w14:textId="77777777" w:rsidR="00D862D3" w:rsidRDefault="00D862D3" w:rsidP="00892563">
            <w:pPr>
              <w:jc w:val="both"/>
              <w:rPr>
                <w:rFonts w:cstheme="minorHAnsi"/>
                <w:b/>
              </w:rPr>
            </w:pPr>
          </w:p>
          <w:p w14:paraId="47877974" w14:textId="77777777" w:rsidR="00D862D3" w:rsidRPr="005973EB" w:rsidRDefault="00D862D3" w:rsidP="00892563">
            <w:pPr>
              <w:jc w:val="both"/>
              <w:rPr>
                <w:rFonts w:cstheme="minorHAnsi"/>
                <w:b/>
              </w:rPr>
            </w:pPr>
          </w:p>
          <w:p w14:paraId="334B32B4" w14:textId="77777777" w:rsidR="00D862D3" w:rsidRDefault="00D862D3" w:rsidP="00892563">
            <w:pPr>
              <w:jc w:val="both"/>
              <w:rPr>
                <w:rFonts w:cstheme="minorHAnsi"/>
                <w:b/>
              </w:rPr>
            </w:pPr>
          </w:p>
        </w:tc>
      </w:tr>
    </w:tbl>
    <w:p w14:paraId="799FD46E" w14:textId="77777777" w:rsidR="00D862D3" w:rsidRDefault="00D862D3" w:rsidP="00D862D3">
      <w:pPr>
        <w:rPr>
          <w:rFonts w:cstheme="minorHAnsi"/>
          <w:b/>
          <w:lang w:val="cs-CZ"/>
        </w:rPr>
      </w:pPr>
    </w:p>
    <w:p w14:paraId="03A57D2C" w14:textId="77777777" w:rsidR="00D862D3" w:rsidRPr="0097716B" w:rsidRDefault="00D862D3" w:rsidP="00D862D3">
      <w:pPr>
        <w:jc w:val="both"/>
        <w:rPr>
          <w:rFonts w:cstheme="minorHAnsi"/>
          <w:b/>
          <w:sz w:val="22"/>
          <w:szCs w:val="22"/>
          <w:lang w:val="cs-CZ"/>
        </w:rPr>
      </w:pPr>
      <w:r w:rsidRPr="0097716B">
        <w:rPr>
          <w:rFonts w:cstheme="minorHAnsi"/>
          <w:b/>
          <w:sz w:val="22"/>
          <w:szCs w:val="22"/>
          <w:lang w:val="cs-CZ"/>
        </w:rPr>
        <w:t>Odkazy v HTML na podpůrné dokumenty:</w:t>
      </w:r>
    </w:p>
    <w:p w14:paraId="5D9DEE16" w14:textId="77777777" w:rsidR="00473A6D" w:rsidRDefault="00473A6D" w:rsidP="00473A6D">
      <w:pPr>
        <w:jc w:val="both"/>
        <w:rPr>
          <w:rFonts w:cstheme="minorHAnsi"/>
          <w:b/>
          <w:sz w:val="20"/>
          <w:szCs w:val="20"/>
          <w:lang w:val="cs-CZ"/>
        </w:rPr>
      </w:pPr>
    </w:p>
    <w:p w14:paraId="66B6A9C2" w14:textId="77777777" w:rsidR="00473A6D" w:rsidRDefault="00473A6D" w:rsidP="00473A6D">
      <w:pPr>
        <w:jc w:val="both"/>
        <w:rPr>
          <w:b/>
          <w:lang w:val="cs-CZ"/>
        </w:rPr>
      </w:pPr>
    </w:p>
    <w:p w14:paraId="43A6C9A2" w14:textId="77777777" w:rsidR="0024203F" w:rsidRDefault="0024203F" w:rsidP="00473A6D">
      <w:pPr>
        <w:jc w:val="both"/>
        <w:rPr>
          <w:b/>
          <w:lang w:val="cs-CZ"/>
        </w:rPr>
      </w:pPr>
    </w:p>
    <w:p w14:paraId="0EC3AEB7" w14:textId="77777777" w:rsidR="00473A6D" w:rsidRDefault="00473A6D" w:rsidP="00473A6D">
      <w:pPr>
        <w:jc w:val="both"/>
        <w:rPr>
          <w:b/>
          <w:lang w:val="cs-CZ"/>
        </w:rPr>
      </w:pPr>
    </w:p>
    <w:tbl>
      <w:tblPr>
        <w:tblStyle w:val="Mkatabulky"/>
        <w:tblW w:w="9209" w:type="dxa"/>
        <w:tblLook w:val="04A0" w:firstRow="1" w:lastRow="0" w:firstColumn="1" w:lastColumn="0" w:noHBand="0" w:noVBand="1"/>
      </w:tblPr>
      <w:tblGrid>
        <w:gridCol w:w="9209"/>
      </w:tblGrid>
      <w:tr w:rsidR="00473A6D" w14:paraId="1D6BA1DC" w14:textId="77777777" w:rsidTr="00686516">
        <w:tc>
          <w:tcPr>
            <w:tcW w:w="9209" w:type="dxa"/>
          </w:tcPr>
          <w:p w14:paraId="73D87FBE" w14:textId="77777777" w:rsidR="00473A6D" w:rsidRPr="00375A49" w:rsidRDefault="00473A6D" w:rsidP="00BC0670">
            <w:pPr>
              <w:shd w:val="clear" w:color="auto" w:fill="90BDC5"/>
              <w:jc w:val="both"/>
              <w:rPr>
                <w:b/>
              </w:rPr>
            </w:pPr>
            <w:r w:rsidRPr="00375A49">
              <w:rPr>
                <w:b/>
              </w:rPr>
              <w:t>4.13 Internacionalizace vnitřního prostředí</w:t>
            </w:r>
          </w:p>
          <w:p w14:paraId="51B1648F" w14:textId="2CFEF30D" w:rsidR="00473A6D" w:rsidRPr="0096628E" w:rsidRDefault="0096628E" w:rsidP="00473A6D">
            <w:pPr>
              <w:jc w:val="both"/>
              <w:rPr>
                <w:i/>
              </w:rPr>
            </w:pPr>
            <w:r w:rsidRPr="0096628E">
              <w:rPr>
                <w:color w:val="808080" w:themeColor="background1" w:themeShade="80"/>
              </w:rPr>
              <w:t>Vysoká škola popíše základní rámec internacionalizace svého vnitřního prostředí ve vazbě na oblast VaVaI a uvede nástroje pro naplnění cílů internacionalizace a způsob jejich implementace. Lze zmínit i případné bariéry internacionalizace.</w:t>
            </w:r>
          </w:p>
        </w:tc>
      </w:tr>
    </w:tbl>
    <w:p w14:paraId="7EBFA22D" w14:textId="77777777" w:rsidR="00D862D3" w:rsidRPr="005973EB" w:rsidRDefault="00D862D3" w:rsidP="00D862D3">
      <w:pPr>
        <w:jc w:val="both"/>
        <w:rPr>
          <w:rFonts w:cstheme="minorHAnsi"/>
          <w:b/>
          <w:sz w:val="20"/>
          <w:szCs w:val="20"/>
          <w:lang w:val="cs-CZ"/>
        </w:rPr>
      </w:pPr>
    </w:p>
    <w:tbl>
      <w:tblPr>
        <w:tblStyle w:val="Mkatabulky"/>
        <w:tblW w:w="0" w:type="auto"/>
        <w:tblLook w:val="04A0" w:firstRow="1" w:lastRow="0" w:firstColumn="1" w:lastColumn="0" w:noHBand="0" w:noVBand="1"/>
      </w:tblPr>
      <w:tblGrid>
        <w:gridCol w:w="9209"/>
      </w:tblGrid>
      <w:tr w:rsidR="00D862D3" w14:paraId="2D11F824" w14:textId="77777777" w:rsidTr="00892563">
        <w:tc>
          <w:tcPr>
            <w:tcW w:w="9209" w:type="dxa"/>
          </w:tcPr>
          <w:p w14:paraId="18BD8419" w14:textId="77777777" w:rsidR="00D862D3" w:rsidRDefault="00D862D3" w:rsidP="00892563">
            <w:pPr>
              <w:jc w:val="both"/>
              <w:rPr>
                <w:rFonts w:cstheme="minorHAnsi"/>
                <w:b/>
              </w:rPr>
            </w:pPr>
            <w:r>
              <w:rPr>
                <w:rFonts w:cstheme="minorHAnsi"/>
                <w:b/>
              </w:rPr>
              <w:t>S</w:t>
            </w:r>
            <w:r w:rsidRPr="005973EB">
              <w:rPr>
                <w:rFonts w:cstheme="minorHAnsi"/>
                <w:b/>
              </w:rPr>
              <w:t>ebehodnocení:</w:t>
            </w:r>
          </w:p>
          <w:p w14:paraId="39816E5A" w14:textId="77777777" w:rsidR="00D862D3" w:rsidRDefault="00D862D3" w:rsidP="00892563">
            <w:pPr>
              <w:jc w:val="both"/>
              <w:rPr>
                <w:rFonts w:cstheme="minorHAnsi"/>
                <w:b/>
              </w:rPr>
            </w:pPr>
          </w:p>
          <w:p w14:paraId="3573402C" w14:textId="77777777" w:rsidR="00D862D3" w:rsidRDefault="00D862D3" w:rsidP="00892563">
            <w:pPr>
              <w:jc w:val="both"/>
              <w:rPr>
                <w:rFonts w:cstheme="minorHAnsi"/>
                <w:b/>
              </w:rPr>
            </w:pPr>
          </w:p>
          <w:p w14:paraId="2171AAC8" w14:textId="77777777" w:rsidR="00D862D3" w:rsidRDefault="00D862D3" w:rsidP="00892563">
            <w:pPr>
              <w:jc w:val="both"/>
              <w:rPr>
                <w:rFonts w:cstheme="minorHAnsi"/>
                <w:b/>
              </w:rPr>
            </w:pPr>
          </w:p>
          <w:p w14:paraId="20B1897C" w14:textId="77777777" w:rsidR="00D862D3" w:rsidRDefault="00D862D3" w:rsidP="00892563">
            <w:pPr>
              <w:jc w:val="both"/>
              <w:rPr>
                <w:rFonts w:cstheme="minorHAnsi"/>
                <w:b/>
              </w:rPr>
            </w:pPr>
          </w:p>
          <w:p w14:paraId="55F410D2" w14:textId="77777777" w:rsidR="00D862D3" w:rsidRDefault="00D862D3" w:rsidP="00892563">
            <w:pPr>
              <w:jc w:val="both"/>
              <w:rPr>
                <w:rFonts w:cstheme="minorHAnsi"/>
                <w:b/>
              </w:rPr>
            </w:pPr>
          </w:p>
          <w:p w14:paraId="0F3619AA" w14:textId="77777777" w:rsidR="00D862D3" w:rsidRPr="005973EB" w:rsidRDefault="00D862D3" w:rsidP="00892563">
            <w:pPr>
              <w:jc w:val="both"/>
              <w:rPr>
                <w:rFonts w:cstheme="minorHAnsi"/>
                <w:b/>
              </w:rPr>
            </w:pPr>
          </w:p>
          <w:p w14:paraId="29834C47" w14:textId="77777777" w:rsidR="00D862D3" w:rsidRDefault="00D862D3" w:rsidP="00892563">
            <w:pPr>
              <w:jc w:val="both"/>
              <w:rPr>
                <w:rFonts w:cstheme="minorHAnsi"/>
                <w:b/>
              </w:rPr>
            </w:pPr>
          </w:p>
        </w:tc>
      </w:tr>
    </w:tbl>
    <w:p w14:paraId="25694756" w14:textId="77777777" w:rsidR="00D862D3" w:rsidRDefault="00D862D3" w:rsidP="00D862D3">
      <w:pPr>
        <w:rPr>
          <w:rFonts w:cstheme="minorHAnsi"/>
          <w:b/>
          <w:lang w:val="cs-CZ"/>
        </w:rPr>
      </w:pPr>
    </w:p>
    <w:p w14:paraId="52E261F1" w14:textId="77777777" w:rsidR="00D862D3" w:rsidRPr="0097716B" w:rsidRDefault="00D862D3" w:rsidP="00D862D3">
      <w:pPr>
        <w:jc w:val="both"/>
        <w:rPr>
          <w:rFonts w:cstheme="minorHAnsi"/>
          <w:b/>
          <w:sz w:val="22"/>
          <w:szCs w:val="22"/>
          <w:lang w:val="cs-CZ"/>
        </w:rPr>
      </w:pPr>
      <w:r w:rsidRPr="0097716B">
        <w:rPr>
          <w:rFonts w:cstheme="minorHAnsi"/>
          <w:b/>
          <w:sz w:val="22"/>
          <w:szCs w:val="22"/>
          <w:lang w:val="cs-CZ"/>
        </w:rPr>
        <w:t>Odkazy v HTML na podpůrné dokumenty:</w:t>
      </w:r>
    </w:p>
    <w:p w14:paraId="452D3B94" w14:textId="77777777" w:rsidR="00473A6D" w:rsidRDefault="00473A6D" w:rsidP="00473A6D">
      <w:pPr>
        <w:jc w:val="both"/>
        <w:rPr>
          <w:rFonts w:cstheme="minorHAnsi"/>
          <w:b/>
          <w:sz w:val="20"/>
          <w:szCs w:val="20"/>
          <w:lang w:val="cs-CZ"/>
        </w:rPr>
      </w:pPr>
    </w:p>
    <w:p w14:paraId="2073F51D" w14:textId="77777777" w:rsidR="002045EE" w:rsidRDefault="002045EE" w:rsidP="00473A6D">
      <w:pPr>
        <w:jc w:val="both"/>
        <w:rPr>
          <w:rFonts w:cstheme="minorHAnsi"/>
          <w:b/>
          <w:sz w:val="20"/>
          <w:szCs w:val="20"/>
          <w:lang w:val="cs-CZ"/>
        </w:rPr>
      </w:pPr>
    </w:p>
    <w:p w14:paraId="39DC22B6" w14:textId="77777777" w:rsidR="002045EE" w:rsidRDefault="002045EE" w:rsidP="00473A6D">
      <w:pPr>
        <w:jc w:val="both"/>
        <w:rPr>
          <w:rFonts w:cstheme="minorHAnsi"/>
          <w:b/>
          <w:sz w:val="20"/>
          <w:szCs w:val="20"/>
          <w:lang w:val="cs-CZ"/>
        </w:rPr>
      </w:pPr>
    </w:p>
    <w:p w14:paraId="4D2C7862" w14:textId="77777777" w:rsidR="002045EE" w:rsidRDefault="002045EE" w:rsidP="00473A6D">
      <w:pPr>
        <w:jc w:val="both"/>
        <w:rPr>
          <w:rFonts w:cstheme="minorHAnsi"/>
          <w:b/>
          <w:sz w:val="20"/>
          <w:szCs w:val="20"/>
          <w:lang w:val="cs-CZ"/>
        </w:rPr>
      </w:pPr>
    </w:p>
    <w:p w14:paraId="3E132064" w14:textId="77777777" w:rsidR="002045EE" w:rsidRDefault="002045EE" w:rsidP="00473A6D">
      <w:pPr>
        <w:jc w:val="both"/>
        <w:rPr>
          <w:rFonts w:cstheme="minorHAnsi"/>
          <w:b/>
          <w:sz w:val="20"/>
          <w:szCs w:val="20"/>
          <w:lang w:val="cs-CZ"/>
        </w:rPr>
      </w:pPr>
    </w:p>
    <w:p w14:paraId="7ECE7F88" w14:textId="77777777" w:rsidR="002045EE" w:rsidRDefault="002045EE" w:rsidP="00473A6D">
      <w:pPr>
        <w:jc w:val="both"/>
        <w:rPr>
          <w:rFonts w:cstheme="minorHAnsi"/>
          <w:b/>
          <w:sz w:val="20"/>
          <w:szCs w:val="20"/>
          <w:lang w:val="cs-CZ"/>
        </w:rPr>
      </w:pPr>
    </w:p>
    <w:p w14:paraId="52FF7120" w14:textId="77777777" w:rsidR="002045EE" w:rsidRDefault="002045EE" w:rsidP="00473A6D">
      <w:pPr>
        <w:jc w:val="both"/>
        <w:rPr>
          <w:rFonts w:cstheme="minorHAnsi"/>
          <w:b/>
          <w:sz w:val="20"/>
          <w:szCs w:val="20"/>
          <w:lang w:val="cs-CZ"/>
        </w:rPr>
      </w:pPr>
    </w:p>
    <w:p w14:paraId="2CA3C80B" w14:textId="77777777" w:rsidR="002045EE" w:rsidRDefault="002045EE" w:rsidP="00473A6D">
      <w:pPr>
        <w:jc w:val="both"/>
        <w:rPr>
          <w:rFonts w:cstheme="minorHAnsi"/>
          <w:b/>
          <w:sz w:val="20"/>
          <w:szCs w:val="20"/>
          <w:lang w:val="cs-CZ"/>
        </w:rPr>
      </w:pPr>
    </w:p>
    <w:p w14:paraId="223E2BA9" w14:textId="77777777" w:rsidR="002045EE" w:rsidRDefault="002045EE" w:rsidP="00473A6D">
      <w:pPr>
        <w:jc w:val="both"/>
        <w:rPr>
          <w:rFonts w:cstheme="minorHAnsi"/>
          <w:b/>
          <w:sz w:val="20"/>
          <w:szCs w:val="20"/>
          <w:lang w:val="cs-CZ"/>
        </w:rPr>
      </w:pPr>
    </w:p>
    <w:p w14:paraId="461DA7D2" w14:textId="77777777" w:rsidR="002045EE" w:rsidRDefault="002045EE" w:rsidP="00473A6D">
      <w:pPr>
        <w:jc w:val="both"/>
        <w:rPr>
          <w:rFonts w:cstheme="minorHAnsi"/>
          <w:b/>
          <w:sz w:val="20"/>
          <w:szCs w:val="20"/>
          <w:lang w:val="cs-CZ"/>
        </w:rPr>
      </w:pPr>
    </w:p>
    <w:p w14:paraId="7ABBEA51" w14:textId="77777777" w:rsidR="002045EE" w:rsidRDefault="002045EE" w:rsidP="00473A6D">
      <w:pPr>
        <w:jc w:val="both"/>
        <w:rPr>
          <w:rFonts w:cstheme="minorHAnsi"/>
          <w:b/>
          <w:sz w:val="20"/>
          <w:szCs w:val="20"/>
          <w:lang w:val="cs-CZ"/>
        </w:rPr>
      </w:pPr>
    </w:p>
    <w:p w14:paraId="3FBFFC3C" w14:textId="5E709794" w:rsidR="00AE3750" w:rsidRPr="002045EE" w:rsidRDefault="00AE3750" w:rsidP="002045EE">
      <w:pPr>
        <w:pStyle w:val="Nadpis3"/>
        <w:rPr>
          <w:lang w:val="cs-CZ"/>
        </w:rPr>
      </w:pPr>
      <w:bookmarkStart w:id="15" w:name="_Toc13829025"/>
      <w:r w:rsidRPr="00EE70B8">
        <w:rPr>
          <w:lang w:val="cs-CZ"/>
        </w:rPr>
        <w:lastRenderedPageBreak/>
        <w:t>LIDSKÉ ZDROJE A KARIÉRA VE VAVAI</w:t>
      </w:r>
      <w:bookmarkEnd w:id="15"/>
      <w:r w:rsidRPr="00EE70B8">
        <w:rPr>
          <w:lang w:val="cs-CZ"/>
        </w:rPr>
        <w:t xml:space="preserve"> </w:t>
      </w:r>
    </w:p>
    <w:p w14:paraId="6070A67D" w14:textId="77777777" w:rsidR="00AE3750" w:rsidRDefault="00AE3750" w:rsidP="00AE3750">
      <w:pPr>
        <w:jc w:val="both"/>
        <w:rPr>
          <w:b/>
          <w:lang w:val="cs-CZ"/>
        </w:rPr>
      </w:pPr>
    </w:p>
    <w:tbl>
      <w:tblPr>
        <w:tblStyle w:val="Mkatabulky"/>
        <w:tblW w:w="9209" w:type="dxa"/>
        <w:tblLook w:val="04A0" w:firstRow="1" w:lastRow="0" w:firstColumn="1" w:lastColumn="0" w:noHBand="0" w:noVBand="1"/>
      </w:tblPr>
      <w:tblGrid>
        <w:gridCol w:w="9209"/>
      </w:tblGrid>
      <w:tr w:rsidR="00AE3750" w14:paraId="0BC50233" w14:textId="77777777" w:rsidTr="00686516">
        <w:tc>
          <w:tcPr>
            <w:tcW w:w="9209" w:type="dxa"/>
          </w:tcPr>
          <w:p w14:paraId="5E29824D" w14:textId="77777777" w:rsidR="000401DE" w:rsidRPr="00375A49" w:rsidRDefault="000401DE" w:rsidP="00BC0670">
            <w:pPr>
              <w:shd w:val="clear" w:color="auto" w:fill="90BDC5"/>
              <w:jc w:val="both"/>
              <w:rPr>
                <w:b/>
              </w:rPr>
            </w:pPr>
            <w:r w:rsidRPr="00375A49">
              <w:rPr>
                <w:b/>
              </w:rPr>
              <w:t>4.14 Systém kariérního růstu akademických a výzkumných pracovníků</w:t>
            </w:r>
          </w:p>
          <w:p w14:paraId="65F53A28" w14:textId="2874ADE1" w:rsidR="000401DE" w:rsidRPr="0096628E" w:rsidRDefault="0096628E" w:rsidP="000401DE">
            <w:pPr>
              <w:jc w:val="both"/>
              <w:rPr>
                <w:i/>
              </w:rPr>
            </w:pPr>
            <w:r w:rsidRPr="0096628E">
              <w:rPr>
                <w:color w:val="808080" w:themeColor="background1" w:themeShade="80"/>
              </w:rPr>
              <w:t xml:space="preserve">Vysoká škola popíše systém kariérního růstu akademických a výzkumných pracovníků. Uvede informace o dlouhodobých pobytech vlastních akademických pracovníků v zahraničí nebo naopak zahraničních pracovníků na hodnocené vysoké škole (tzv. </w:t>
            </w:r>
            <w:proofErr w:type="spellStart"/>
            <w:r w:rsidRPr="0096628E">
              <w:rPr>
                <w:color w:val="808080" w:themeColor="background1" w:themeShade="80"/>
              </w:rPr>
              <w:t>sabbatical</w:t>
            </w:r>
            <w:proofErr w:type="spellEnd"/>
            <w:r w:rsidRPr="0096628E">
              <w:rPr>
                <w:color w:val="808080" w:themeColor="background1" w:themeShade="80"/>
              </w:rPr>
              <w:t xml:space="preserve">; pokud existují pravidla nebo systém podpory), mezinárodních výběrových řízeních, pravidlech kariérního růstu, </w:t>
            </w:r>
            <w:proofErr w:type="spellStart"/>
            <w:r w:rsidRPr="0096628E">
              <w:rPr>
                <w:color w:val="808080" w:themeColor="background1" w:themeShade="80"/>
              </w:rPr>
              <w:t>mentoringu</w:t>
            </w:r>
            <w:proofErr w:type="spellEnd"/>
            <w:r w:rsidRPr="0096628E">
              <w:rPr>
                <w:color w:val="808080" w:themeColor="background1" w:themeShade="80"/>
              </w:rPr>
              <w:t xml:space="preserve"> (pokud existuje), transparentním rozdělení institucionálních úvazků, postoji k řetězení smluv a vedoucích akademických pozic, opatřeních k návratnosti pracovníků po pobytu na externím pracovišti vč. zahraničního, případně další relevantní informace dle vlastní úvahy. Poskytne odkaz na existující kariérní řád nebo obdobný dokument (pokud existuje).</w:t>
            </w:r>
          </w:p>
        </w:tc>
      </w:tr>
    </w:tbl>
    <w:p w14:paraId="51D44120" w14:textId="77777777" w:rsidR="00D862D3" w:rsidRPr="005973EB" w:rsidRDefault="00D862D3" w:rsidP="00D862D3">
      <w:pPr>
        <w:jc w:val="both"/>
        <w:rPr>
          <w:rFonts w:cstheme="minorHAnsi"/>
          <w:b/>
          <w:sz w:val="20"/>
          <w:szCs w:val="20"/>
          <w:lang w:val="cs-CZ"/>
        </w:rPr>
      </w:pPr>
    </w:p>
    <w:tbl>
      <w:tblPr>
        <w:tblStyle w:val="Mkatabulky"/>
        <w:tblW w:w="0" w:type="auto"/>
        <w:tblLook w:val="04A0" w:firstRow="1" w:lastRow="0" w:firstColumn="1" w:lastColumn="0" w:noHBand="0" w:noVBand="1"/>
      </w:tblPr>
      <w:tblGrid>
        <w:gridCol w:w="9209"/>
      </w:tblGrid>
      <w:tr w:rsidR="00D862D3" w14:paraId="41191253" w14:textId="77777777" w:rsidTr="00892563">
        <w:tc>
          <w:tcPr>
            <w:tcW w:w="9209" w:type="dxa"/>
          </w:tcPr>
          <w:p w14:paraId="56D35C03" w14:textId="77777777" w:rsidR="00D862D3" w:rsidRDefault="00D862D3" w:rsidP="00892563">
            <w:pPr>
              <w:jc w:val="both"/>
              <w:rPr>
                <w:rFonts w:cstheme="minorHAnsi"/>
                <w:b/>
              </w:rPr>
            </w:pPr>
            <w:r>
              <w:rPr>
                <w:rFonts w:cstheme="minorHAnsi"/>
                <w:b/>
              </w:rPr>
              <w:t>S</w:t>
            </w:r>
            <w:r w:rsidRPr="005973EB">
              <w:rPr>
                <w:rFonts w:cstheme="minorHAnsi"/>
                <w:b/>
              </w:rPr>
              <w:t>ebehodnocení:</w:t>
            </w:r>
          </w:p>
          <w:p w14:paraId="057DD4CE" w14:textId="77777777" w:rsidR="00D862D3" w:rsidRDefault="00D862D3" w:rsidP="00892563">
            <w:pPr>
              <w:jc w:val="both"/>
              <w:rPr>
                <w:rFonts w:cstheme="minorHAnsi"/>
                <w:b/>
              </w:rPr>
            </w:pPr>
          </w:p>
          <w:p w14:paraId="4759A406" w14:textId="77777777" w:rsidR="00D862D3" w:rsidRDefault="00D862D3" w:rsidP="00892563">
            <w:pPr>
              <w:jc w:val="both"/>
              <w:rPr>
                <w:rFonts w:cstheme="minorHAnsi"/>
                <w:b/>
              </w:rPr>
            </w:pPr>
          </w:p>
          <w:p w14:paraId="54F65511" w14:textId="77777777" w:rsidR="00D862D3" w:rsidRDefault="00D862D3" w:rsidP="00892563">
            <w:pPr>
              <w:jc w:val="both"/>
              <w:rPr>
                <w:rFonts w:cstheme="minorHAnsi"/>
                <w:b/>
              </w:rPr>
            </w:pPr>
          </w:p>
          <w:p w14:paraId="092A53AE" w14:textId="77777777" w:rsidR="00D862D3" w:rsidRDefault="00D862D3" w:rsidP="00892563">
            <w:pPr>
              <w:jc w:val="both"/>
              <w:rPr>
                <w:rFonts w:cstheme="minorHAnsi"/>
                <w:b/>
              </w:rPr>
            </w:pPr>
          </w:p>
          <w:p w14:paraId="37D90045" w14:textId="77777777" w:rsidR="00D862D3" w:rsidRDefault="00D862D3" w:rsidP="00892563">
            <w:pPr>
              <w:jc w:val="both"/>
              <w:rPr>
                <w:rFonts w:cstheme="minorHAnsi"/>
                <w:b/>
              </w:rPr>
            </w:pPr>
          </w:p>
          <w:p w14:paraId="1AEC2A8A" w14:textId="77777777" w:rsidR="00D862D3" w:rsidRPr="005973EB" w:rsidRDefault="00D862D3" w:rsidP="00892563">
            <w:pPr>
              <w:jc w:val="both"/>
              <w:rPr>
                <w:rFonts w:cstheme="minorHAnsi"/>
                <w:b/>
              </w:rPr>
            </w:pPr>
          </w:p>
          <w:p w14:paraId="7128B0F1" w14:textId="77777777" w:rsidR="00D862D3" w:rsidRDefault="00D862D3" w:rsidP="00892563">
            <w:pPr>
              <w:jc w:val="both"/>
              <w:rPr>
                <w:rFonts w:cstheme="minorHAnsi"/>
                <w:b/>
              </w:rPr>
            </w:pPr>
          </w:p>
        </w:tc>
      </w:tr>
    </w:tbl>
    <w:p w14:paraId="79E0CEE5" w14:textId="77777777" w:rsidR="00D862D3" w:rsidRDefault="00D862D3" w:rsidP="00D862D3">
      <w:pPr>
        <w:rPr>
          <w:rFonts w:cstheme="minorHAnsi"/>
          <w:b/>
          <w:lang w:val="cs-CZ"/>
        </w:rPr>
      </w:pPr>
    </w:p>
    <w:p w14:paraId="1FF2270F" w14:textId="16192D20" w:rsidR="00AE3750" w:rsidRPr="002045EE" w:rsidRDefault="00D862D3" w:rsidP="00AE3750">
      <w:pPr>
        <w:jc w:val="both"/>
        <w:rPr>
          <w:rFonts w:cstheme="minorHAnsi"/>
          <w:b/>
          <w:sz w:val="22"/>
          <w:szCs w:val="22"/>
          <w:lang w:val="cs-CZ"/>
        </w:rPr>
      </w:pPr>
      <w:r w:rsidRPr="0097716B">
        <w:rPr>
          <w:rFonts w:cstheme="minorHAnsi"/>
          <w:b/>
          <w:sz w:val="22"/>
          <w:szCs w:val="22"/>
          <w:lang w:val="cs-CZ"/>
        </w:rPr>
        <w:t>Odkazy v HTML na podpůrné dokumenty:</w:t>
      </w:r>
    </w:p>
    <w:p w14:paraId="27D13DB2" w14:textId="77777777" w:rsidR="00AE3750" w:rsidRDefault="00AE3750" w:rsidP="00AE3750">
      <w:pPr>
        <w:jc w:val="both"/>
        <w:rPr>
          <w:b/>
          <w:lang w:val="cs-CZ"/>
        </w:rPr>
      </w:pPr>
    </w:p>
    <w:p w14:paraId="2086E189" w14:textId="77777777" w:rsidR="00BC0670" w:rsidRDefault="00BC0670" w:rsidP="00AE3750">
      <w:pPr>
        <w:jc w:val="both"/>
        <w:rPr>
          <w:b/>
          <w:lang w:val="cs-CZ"/>
        </w:rPr>
      </w:pPr>
    </w:p>
    <w:p w14:paraId="70922F81" w14:textId="77777777" w:rsidR="0024203F" w:rsidRDefault="0024203F" w:rsidP="00AE3750">
      <w:pPr>
        <w:jc w:val="both"/>
        <w:rPr>
          <w:b/>
          <w:lang w:val="cs-CZ"/>
        </w:rPr>
      </w:pPr>
    </w:p>
    <w:p w14:paraId="33355808" w14:textId="77777777" w:rsidR="0024203F" w:rsidRDefault="0024203F" w:rsidP="00AE3750">
      <w:pPr>
        <w:jc w:val="both"/>
        <w:rPr>
          <w:b/>
          <w:lang w:val="cs-CZ"/>
        </w:rPr>
      </w:pPr>
    </w:p>
    <w:tbl>
      <w:tblPr>
        <w:tblStyle w:val="Mkatabulky"/>
        <w:tblW w:w="9209" w:type="dxa"/>
        <w:tblLook w:val="04A0" w:firstRow="1" w:lastRow="0" w:firstColumn="1" w:lastColumn="0" w:noHBand="0" w:noVBand="1"/>
      </w:tblPr>
      <w:tblGrid>
        <w:gridCol w:w="9209"/>
      </w:tblGrid>
      <w:tr w:rsidR="00AE3750" w14:paraId="395FCF34" w14:textId="77777777" w:rsidTr="00686516">
        <w:tc>
          <w:tcPr>
            <w:tcW w:w="9209" w:type="dxa"/>
          </w:tcPr>
          <w:p w14:paraId="78D40315" w14:textId="77777777" w:rsidR="000401DE" w:rsidRPr="00375A49" w:rsidRDefault="000401DE" w:rsidP="00BC0670">
            <w:pPr>
              <w:shd w:val="clear" w:color="auto" w:fill="90BDC5"/>
              <w:jc w:val="both"/>
              <w:rPr>
                <w:b/>
              </w:rPr>
            </w:pPr>
            <w:r w:rsidRPr="00375A49">
              <w:rPr>
                <w:b/>
              </w:rPr>
              <w:t>4.15 Systém hodnocení akademických a výzkumných pracovníků a obsazování klíčových pozic ve </w:t>
            </w:r>
            <w:r>
              <w:rPr>
                <w:b/>
              </w:rPr>
              <w:t>VaVaI</w:t>
            </w:r>
          </w:p>
          <w:p w14:paraId="158F669A" w14:textId="75BB59BA" w:rsidR="000401DE" w:rsidRPr="0096628E" w:rsidRDefault="0096628E" w:rsidP="000401DE">
            <w:pPr>
              <w:jc w:val="both"/>
              <w:rPr>
                <w:i/>
              </w:rPr>
            </w:pPr>
            <w:r w:rsidRPr="0096628E">
              <w:rPr>
                <w:color w:val="808080" w:themeColor="background1" w:themeShade="80"/>
              </w:rPr>
              <w:t>Vysoká škola stručně popíše systém hodnocení akademických a výzkumných pracovníků (základní pravidla a zásady interního hodnocení) a pravidla pro obsazování vedoucích pozic v souvislosti s VaVaI.</w:t>
            </w:r>
          </w:p>
        </w:tc>
      </w:tr>
    </w:tbl>
    <w:p w14:paraId="59AB64E3" w14:textId="77777777" w:rsidR="00D862D3" w:rsidRPr="005973EB" w:rsidRDefault="00D862D3" w:rsidP="00D862D3">
      <w:pPr>
        <w:jc w:val="both"/>
        <w:rPr>
          <w:rFonts w:cstheme="minorHAnsi"/>
          <w:b/>
          <w:sz w:val="20"/>
          <w:szCs w:val="20"/>
          <w:lang w:val="cs-CZ"/>
        </w:rPr>
      </w:pPr>
    </w:p>
    <w:tbl>
      <w:tblPr>
        <w:tblStyle w:val="Mkatabulky"/>
        <w:tblW w:w="0" w:type="auto"/>
        <w:tblLook w:val="04A0" w:firstRow="1" w:lastRow="0" w:firstColumn="1" w:lastColumn="0" w:noHBand="0" w:noVBand="1"/>
      </w:tblPr>
      <w:tblGrid>
        <w:gridCol w:w="9209"/>
      </w:tblGrid>
      <w:tr w:rsidR="00D862D3" w14:paraId="76EE706F" w14:textId="77777777" w:rsidTr="00892563">
        <w:tc>
          <w:tcPr>
            <w:tcW w:w="9209" w:type="dxa"/>
          </w:tcPr>
          <w:p w14:paraId="1F4A4184" w14:textId="77777777" w:rsidR="00D862D3" w:rsidRDefault="00D862D3" w:rsidP="00892563">
            <w:pPr>
              <w:jc w:val="both"/>
              <w:rPr>
                <w:rFonts w:cstheme="minorHAnsi"/>
                <w:b/>
              </w:rPr>
            </w:pPr>
            <w:r>
              <w:rPr>
                <w:rFonts w:cstheme="minorHAnsi"/>
                <w:b/>
              </w:rPr>
              <w:t>S</w:t>
            </w:r>
            <w:r w:rsidRPr="005973EB">
              <w:rPr>
                <w:rFonts w:cstheme="minorHAnsi"/>
                <w:b/>
              </w:rPr>
              <w:t>ebehodnocení:</w:t>
            </w:r>
          </w:p>
          <w:p w14:paraId="7EC031C0" w14:textId="77777777" w:rsidR="00D862D3" w:rsidRDefault="00D862D3" w:rsidP="00892563">
            <w:pPr>
              <w:jc w:val="both"/>
              <w:rPr>
                <w:rFonts w:cstheme="minorHAnsi"/>
                <w:b/>
              </w:rPr>
            </w:pPr>
          </w:p>
          <w:p w14:paraId="2E4199EC" w14:textId="77777777" w:rsidR="00D862D3" w:rsidRDefault="00D862D3" w:rsidP="00892563">
            <w:pPr>
              <w:jc w:val="both"/>
              <w:rPr>
                <w:rFonts w:cstheme="minorHAnsi"/>
                <w:b/>
              </w:rPr>
            </w:pPr>
          </w:p>
          <w:p w14:paraId="25BAC049" w14:textId="77777777" w:rsidR="00D862D3" w:rsidRDefault="00D862D3" w:rsidP="00892563">
            <w:pPr>
              <w:jc w:val="both"/>
              <w:rPr>
                <w:rFonts w:cstheme="minorHAnsi"/>
                <w:b/>
              </w:rPr>
            </w:pPr>
          </w:p>
          <w:p w14:paraId="086F8A4A" w14:textId="77777777" w:rsidR="00D862D3" w:rsidRDefault="00D862D3" w:rsidP="00892563">
            <w:pPr>
              <w:jc w:val="both"/>
              <w:rPr>
                <w:rFonts w:cstheme="minorHAnsi"/>
                <w:b/>
              </w:rPr>
            </w:pPr>
          </w:p>
          <w:p w14:paraId="3A18DD39" w14:textId="77777777" w:rsidR="00D862D3" w:rsidRDefault="00D862D3" w:rsidP="00892563">
            <w:pPr>
              <w:jc w:val="both"/>
              <w:rPr>
                <w:rFonts w:cstheme="minorHAnsi"/>
                <w:b/>
              </w:rPr>
            </w:pPr>
          </w:p>
          <w:p w14:paraId="66EBB137" w14:textId="77777777" w:rsidR="00D862D3" w:rsidRPr="005973EB" w:rsidRDefault="00D862D3" w:rsidP="00892563">
            <w:pPr>
              <w:jc w:val="both"/>
              <w:rPr>
                <w:rFonts w:cstheme="minorHAnsi"/>
                <w:b/>
              </w:rPr>
            </w:pPr>
          </w:p>
          <w:p w14:paraId="7AFA7F31" w14:textId="77777777" w:rsidR="00D862D3" w:rsidRDefault="00D862D3" w:rsidP="00892563">
            <w:pPr>
              <w:jc w:val="both"/>
              <w:rPr>
                <w:rFonts w:cstheme="minorHAnsi"/>
                <w:b/>
              </w:rPr>
            </w:pPr>
          </w:p>
        </w:tc>
      </w:tr>
    </w:tbl>
    <w:p w14:paraId="345C596C" w14:textId="77777777" w:rsidR="00D862D3" w:rsidRDefault="00D862D3" w:rsidP="00D862D3">
      <w:pPr>
        <w:rPr>
          <w:rFonts w:cstheme="minorHAnsi"/>
          <w:b/>
          <w:lang w:val="cs-CZ"/>
        </w:rPr>
      </w:pPr>
    </w:p>
    <w:p w14:paraId="55DF4AE4" w14:textId="77777777" w:rsidR="00D862D3" w:rsidRPr="0097716B" w:rsidRDefault="00D862D3" w:rsidP="00D862D3">
      <w:pPr>
        <w:jc w:val="both"/>
        <w:rPr>
          <w:rFonts w:cstheme="minorHAnsi"/>
          <w:b/>
          <w:sz w:val="22"/>
          <w:szCs w:val="22"/>
          <w:lang w:val="cs-CZ"/>
        </w:rPr>
      </w:pPr>
      <w:r w:rsidRPr="0097716B">
        <w:rPr>
          <w:rFonts w:cstheme="minorHAnsi"/>
          <w:b/>
          <w:sz w:val="22"/>
          <w:szCs w:val="22"/>
          <w:lang w:val="cs-CZ"/>
        </w:rPr>
        <w:t>Odkazy v HTML na podpůrné dokumenty:</w:t>
      </w:r>
    </w:p>
    <w:p w14:paraId="2B9CCCA4" w14:textId="77777777" w:rsidR="00AE3750" w:rsidRDefault="00AE3750" w:rsidP="00AE3750">
      <w:pPr>
        <w:jc w:val="both"/>
        <w:rPr>
          <w:rFonts w:cstheme="minorHAnsi"/>
          <w:b/>
          <w:sz w:val="20"/>
          <w:szCs w:val="20"/>
          <w:lang w:val="cs-CZ"/>
        </w:rPr>
      </w:pPr>
    </w:p>
    <w:p w14:paraId="557E2B00" w14:textId="77777777" w:rsidR="00F34EF2" w:rsidRPr="007924D6" w:rsidRDefault="00F34EF2" w:rsidP="00F34EF2">
      <w:pPr>
        <w:jc w:val="both"/>
        <w:rPr>
          <w:rFonts w:cstheme="minorHAnsi"/>
          <w:b/>
          <w:lang w:val="cs-CZ"/>
        </w:rPr>
      </w:pPr>
    </w:p>
    <w:p w14:paraId="644478B0" w14:textId="77777777" w:rsidR="00F34EF2" w:rsidRDefault="00F34EF2" w:rsidP="00F34EF2">
      <w:pPr>
        <w:jc w:val="both"/>
        <w:rPr>
          <w:rFonts w:cstheme="minorHAnsi"/>
          <w:b/>
          <w:lang w:val="cs-CZ"/>
        </w:rPr>
      </w:pPr>
    </w:p>
    <w:p w14:paraId="52A196E7" w14:textId="77777777" w:rsidR="00FE58F8" w:rsidRPr="007924D6" w:rsidRDefault="00FE58F8" w:rsidP="00F34EF2">
      <w:pPr>
        <w:jc w:val="both"/>
        <w:rPr>
          <w:rFonts w:cstheme="minorHAnsi"/>
          <w:b/>
          <w:lang w:val="cs-CZ"/>
        </w:rPr>
      </w:pPr>
    </w:p>
    <w:p w14:paraId="31D6E20A" w14:textId="77777777" w:rsidR="00F34EF2" w:rsidRPr="007924D6" w:rsidRDefault="00F34EF2" w:rsidP="00F34EF2">
      <w:pPr>
        <w:jc w:val="both"/>
        <w:rPr>
          <w:rFonts w:cstheme="minorHAnsi"/>
          <w:b/>
          <w:lang w:val="cs-CZ"/>
        </w:rPr>
      </w:pPr>
    </w:p>
    <w:tbl>
      <w:tblPr>
        <w:tblStyle w:val="Mkatabulky"/>
        <w:tblW w:w="9209" w:type="dxa"/>
        <w:tblLook w:val="04A0" w:firstRow="1" w:lastRow="0" w:firstColumn="1" w:lastColumn="0" w:noHBand="0" w:noVBand="1"/>
      </w:tblPr>
      <w:tblGrid>
        <w:gridCol w:w="9209"/>
      </w:tblGrid>
      <w:tr w:rsidR="00AE3750" w14:paraId="5E1028C1" w14:textId="77777777" w:rsidTr="00686516">
        <w:tc>
          <w:tcPr>
            <w:tcW w:w="9209" w:type="dxa"/>
          </w:tcPr>
          <w:p w14:paraId="32D99128" w14:textId="77777777" w:rsidR="000401DE" w:rsidRPr="00375A49" w:rsidRDefault="000401DE" w:rsidP="00BC0670">
            <w:pPr>
              <w:shd w:val="clear" w:color="auto" w:fill="90BDC5"/>
              <w:rPr>
                <w:b/>
              </w:rPr>
            </w:pPr>
            <w:r w:rsidRPr="00375A49">
              <w:rPr>
                <w:b/>
              </w:rPr>
              <w:lastRenderedPageBreak/>
              <w:t>4.16 Systém náboru výzkumných a akademických pracovníků z externího prostředí</w:t>
            </w:r>
          </w:p>
          <w:p w14:paraId="63CA2C3E" w14:textId="4D0F4976" w:rsidR="000401DE" w:rsidRPr="00DE4CF4" w:rsidRDefault="00DE4CF4" w:rsidP="000401DE">
            <w:pPr>
              <w:jc w:val="both"/>
              <w:rPr>
                <w:i/>
              </w:rPr>
            </w:pPr>
            <w:r w:rsidRPr="00DE4CF4">
              <w:rPr>
                <w:color w:val="808080" w:themeColor="background1" w:themeShade="80"/>
              </w:rPr>
              <w:t>Vysoká škola stručně popíše systém náboru akademických pracovníků z vnějšího prostředí, zejména ze zahraničí, tzv. „</w:t>
            </w:r>
            <w:proofErr w:type="spellStart"/>
            <w:r w:rsidRPr="00DE4CF4">
              <w:rPr>
                <w:color w:val="808080" w:themeColor="background1" w:themeShade="80"/>
              </w:rPr>
              <w:t>recruitment</w:t>
            </w:r>
            <w:proofErr w:type="spellEnd"/>
            <w:r w:rsidRPr="00DE4CF4">
              <w:rPr>
                <w:color w:val="808080" w:themeColor="background1" w:themeShade="80"/>
              </w:rPr>
              <w:t>“ (pokud takový systém na úrovni fakult nebo univerzity existuje).</w:t>
            </w:r>
          </w:p>
        </w:tc>
      </w:tr>
    </w:tbl>
    <w:p w14:paraId="7248F1AE" w14:textId="77777777" w:rsidR="00D862D3" w:rsidRPr="005973EB" w:rsidRDefault="00D862D3" w:rsidP="00D862D3">
      <w:pPr>
        <w:jc w:val="both"/>
        <w:rPr>
          <w:rFonts w:cstheme="minorHAnsi"/>
          <w:b/>
          <w:sz w:val="20"/>
          <w:szCs w:val="20"/>
          <w:lang w:val="cs-CZ"/>
        </w:rPr>
      </w:pPr>
    </w:p>
    <w:tbl>
      <w:tblPr>
        <w:tblStyle w:val="Mkatabulky"/>
        <w:tblW w:w="0" w:type="auto"/>
        <w:tblLook w:val="04A0" w:firstRow="1" w:lastRow="0" w:firstColumn="1" w:lastColumn="0" w:noHBand="0" w:noVBand="1"/>
      </w:tblPr>
      <w:tblGrid>
        <w:gridCol w:w="9209"/>
      </w:tblGrid>
      <w:tr w:rsidR="00D862D3" w14:paraId="7B2D28EA" w14:textId="77777777" w:rsidTr="00892563">
        <w:tc>
          <w:tcPr>
            <w:tcW w:w="9209" w:type="dxa"/>
          </w:tcPr>
          <w:p w14:paraId="736C8CC7" w14:textId="77777777" w:rsidR="00D862D3" w:rsidRDefault="00D862D3" w:rsidP="00892563">
            <w:pPr>
              <w:jc w:val="both"/>
              <w:rPr>
                <w:rFonts w:cstheme="minorHAnsi"/>
                <w:b/>
              </w:rPr>
            </w:pPr>
            <w:r>
              <w:rPr>
                <w:rFonts w:cstheme="minorHAnsi"/>
                <w:b/>
              </w:rPr>
              <w:t>S</w:t>
            </w:r>
            <w:r w:rsidRPr="005973EB">
              <w:rPr>
                <w:rFonts w:cstheme="minorHAnsi"/>
                <w:b/>
              </w:rPr>
              <w:t>ebehodnocení:</w:t>
            </w:r>
          </w:p>
          <w:p w14:paraId="2661B624" w14:textId="77777777" w:rsidR="00D862D3" w:rsidRDefault="00D862D3" w:rsidP="00892563">
            <w:pPr>
              <w:jc w:val="both"/>
              <w:rPr>
                <w:rFonts w:cstheme="minorHAnsi"/>
                <w:b/>
              </w:rPr>
            </w:pPr>
          </w:p>
          <w:p w14:paraId="0D9542B2" w14:textId="77777777" w:rsidR="00D862D3" w:rsidRDefault="00D862D3" w:rsidP="00892563">
            <w:pPr>
              <w:jc w:val="both"/>
              <w:rPr>
                <w:rFonts w:cstheme="minorHAnsi"/>
                <w:b/>
              </w:rPr>
            </w:pPr>
          </w:p>
          <w:p w14:paraId="322C624F" w14:textId="77777777" w:rsidR="00D862D3" w:rsidRDefault="00D862D3" w:rsidP="00892563">
            <w:pPr>
              <w:jc w:val="both"/>
              <w:rPr>
                <w:rFonts w:cstheme="minorHAnsi"/>
                <w:b/>
              </w:rPr>
            </w:pPr>
          </w:p>
          <w:p w14:paraId="6BC43AA7" w14:textId="77777777" w:rsidR="00D862D3" w:rsidRDefault="00D862D3" w:rsidP="00892563">
            <w:pPr>
              <w:jc w:val="both"/>
              <w:rPr>
                <w:rFonts w:cstheme="minorHAnsi"/>
                <w:b/>
              </w:rPr>
            </w:pPr>
          </w:p>
          <w:p w14:paraId="620AFD38" w14:textId="77777777" w:rsidR="00D862D3" w:rsidRDefault="00D862D3" w:rsidP="00892563">
            <w:pPr>
              <w:jc w:val="both"/>
              <w:rPr>
                <w:rFonts w:cstheme="minorHAnsi"/>
                <w:b/>
              </w:rPr>
            </w:pPr>
          </w:p>
          <w:p w14:paraId="5AA1448E" w14:textId="77777777" w:rsidR="00D862D3" w:rsidRPr="005973EB" w:rsidRDefault="00D862D3" w:rsidP="00892563">
            <w:pPr>
              <w:jc w:val="both"/>
              <w:rPr>
                <w:rFonts w:cstheme="minorHAnsi"/>
                <w:b/>
              </w:rPr>
            </w:pPr>
          </w:p>
          <w:p w14:paraId="77CFD50C" w14:textId="77777777" w:rsidR="00D862D3" w:rsidRDefault="00D862D3" w:rsidP="00892563">
            <w:pPr>
              <w:jc w:val="both"/>
              <w:rPr>
                <w:rFonts w:cstheme="minorHAnsi"/>
                <w:b/>
              </w:rPr>
            </w:pPr>
          </w:p>
        </w:tc>
      </w:tr>
    </w:tbl>
    <w:p w14:paraId="0E878715" w14:textId="77777777" w:rsidR="00D862D3" w:rsidRDefault="00D862D3" w:rsidP="00D862D3">
      <w:pPr>
        <w:rPr>
          <w:rFonts w:cstheme="minorHAnsi"/>
          <w:b/>
          <w:lang w:val="cs-CZ"/>
        </w:rPr>
      </w:pPr>
    </w:p>
    <w:p w14:paraId="0055DDAA" w14:textId="77777777" w:rsidR="00D862D3" w:rsidRPr="0097716B" w:rsidRDefault="00D862D3" w:rsidP="00D862D3">
      <w:pPr>
        <w:jc w:val="both"/>
        <w:rPr>
          <w:rFonts w:cstheme="minorHAnsi"/>
          <w:b/>
          <w:sz w:val="22"/>
          <w:szCs w:val="22"/>
          <w:lang w:val="cs-CZ"/>
        </w:rPr>
      </w:pPr>
      <w:r w:rsidRPr="0097716B">
        <w:rPr>
          <w:rFonts w:cstheme="minorHAnsi"/>
          <w:b/>
          <w:sz w:val="22"/>
          <w:szCs w:val="22"/>
          <w:lang w:val="cs-CZ"/>
        </w:rPr>
        <w:t>Odkazy v HTML na podpůrné dokumenty:</w:t>
      </w:r>
    </w:p>
    <w:p w14:paraId="2CF852F9" w14:textId="77777777" w:rsidR="00AE3750" w:rsidRDefault="00AE3750" w:rsidP="00AE3750">
      <w:pPr>
        <w:jc w:val="both"/>
        <w:rPr>
          <w:rFonts w:cstheme="minorHAnsi"/>
          <w:b/>
          <w:sz w:val="20"/>
          <w:szCs w:val="20"/>
          <w:lang w:val="cs-CZ"/>
        </w:rPr>
      </w:pPr>
    </w:p>
    <w:p w14:paraId="46F361AC" w14:textId="77777777" w:rsidR="00D93B26" w:rsidRDefault="00D93B26" w:rsidP="00AE3750">
      <w:pPr>
        <w:jc w:val="both"/>
        <w:rPr>
          <w:rFonts w:cstheme="minorHAnsi"/>
          <w:b/>
          <w:sz w:val="20"/>
          <w:szCs w:val="20"/>
          <w:lang w:val="cs-CZ"/>
        </w:rPr>
      </w:pPr>
    </w:p>
    <w:p w14:paraId="01F6DBC1" w14:textId="77777777" w:rsidR="00D93B26" w:rsidRDefault="00D93B26" w:rsidP="00D862D3">
      <w:pPr>
        <w:jc w:val="both"/>
        <w:rPr>
          <w:rFonts w:cstheme="minorHAnsi"/>
          <w:b/>
          <w:sz w:val="20"/>
          <w:szCs w:val="20"/>
          <w:lang w:val="cs-CZ"/>
        </w:rPr>
      </w:pPr>
    </w:p>
    <w:p w14:paraId="1F6A499A" w14:textId="77777777" w:rsidR="002045EE" w:rsidRDefault="002045EE" w:rsidP="00D862D3">
      <w:pPr>
        <w:jc w:val="both"/>
        <w:rPr>
          <w:rFonts w:cstheme="minorHAnsi"/>
          <w:b/>
          <w:sz w:val="20"/>
          <w:szCs w:val="20"/>
          <w:lang w:val="cs-CZ"/>
        </w:rPr>
      </w:pPr>
    </w:p>
    <w:tbl>
      <w:tblPr>
        <w:tblStyle w:val="Mkatabulky"/>
        <w:tblW w:w="9209" w:type="dxa"/>
        <w:tblLook w:val="04A0" w:firstRow="1" w:lastRow="0" w:firstColumn="1" w:lastColumn="0" w:noHBand="0" w:noVBand="1"/>
      </w:tblPr>
      <w:tblGrid>
        <w:gridCol w:w="9209"/>
      </w:tblGrid>
      <w:tr w:rsidR="002045EE" w:rsidRPr="00DE4CF4" w14:paraId="14866A06" w14:textId="77777777" w:rsidTr="000E332E">
        <w:tc>
          <w:tcPr>
            <w:tcW w:w="9209" w:type="dxa"/>
          </w:tcPr>
          <w:p w14:paraId="278C0A32" w14:textId="77777777" w:rsidR="002045EE" w:rsidRPr="00375A49" w:rsidRDefault="002045EE" w:rsidP="002045EE">
            <w:pPr>
              <w:shd w:val="clear" w:color="auto" w:fill="90BDC5"/>
              <w:jc w:val="both"/>
              <w:rPr>
                <w:b/>
              </w:rPr>
            </w:pPr>
            <w:r w:rsidRPr="00375A49">
              <w:rPr>
                <w:b/>
              </w:rPr>
              <w:t xml:space="preserve">4.17 Struktura lidských zdrojů </w:t>
            </w:r>
          </w:p>
          <w:p w14:paraId="1E58C526" w14:textId="77777777" w:rsidR="002045EE" w:rsidRPr="00DE4CF4" w:rsidRDefault="002045EE" w:rsidP="002045EE">
            <w:pPr>
              <w:jc w:val="both"/>
              <w:rPr>
                <w:color w:val="808080" w:themeColor="background1" w:themeShade="80"/>
              </w:rPr>
            </w:pPr>
            <w:r w:rsidRPr="00DE4CF4">
              <w:rPr>
                <w:color w:val="808080" w:themeColor="background1" w:themeShade="80"/>
              </w:rPr>
              <w:t>Vysoká škola popíše současný stav, věkovou strukturu a vývojový trend pracovníků, kteří se podíleli na VaVaI, a jejich strukturu podle pracovního zařazení a genderu za hodnocené období 2014 až 2018 z přílohy (tab.  4.17.1, 4.17.2), včetně pracovníků s cizím státním občanstvím (vyjma pracovníků se slovenským státním občanstvím) podílejících se na VaVaI vysoké školy z přílohy (tab. 4.17.3).</w:t>
            </w:r>
          </w:p>
          <w:p w14:paraId="2935EB08" w14:textId="4E8FF5FB" w:rsidR="002045EE" w:rsidRPr="00DE4CF4" w:rsidRDefault="002045EE" w:rsidP="002045EE">
            <w:pPr>
              <w:jc w:val="both"/>
              <w:rPr>
                <w:i/>
              </w:rPr>
            </w:pPr>
            <w:r w:rsidRPr="00DE4CF4">
              <w:rPr>
                <w:color w:val="808080" w:themeColor="background1" w:themeShade="80"/>
              </w:rPr>
              <w:t xml:space="preserve">Vysoká škola uvede, zda je držitelem značky HR </w:t>
            </w:r>
            <w:proofErr w:type="spellStart"/>
            <w:r w:rsidRPr="00DE4CF4">
              <w:rPr>
                <w:color w:val="808080" w:themeColor="background1" w:themeShade="80"/>
              </w:rPr>
              <w:t>Award</w:t>
            </w:r>
            <w:proofErr w:type="spellEnd"/>
            <w:r w:rsidRPr="00DE4CF4">
              <w:rPr>
                <w:color w:val="808080" w:themeColor="background1" w:themeShade="80"/>
              </w:rPr>
              <w:t>, případně zda a jak usiluje o její získání.</w:t>
            </w:r>
          </w:p>
        </w:tc>
      </w:tr>
    </w:tbl>
    <w:p w14:paraId="540F553C" w14:textId="77777777" w:rsidR="002045EE" w:rsidRDefault="002045EE" w:rsidP="00D862D3">
      <w:pPr>
        <w:jc w:val="both"/>
        <w:rPr>
          <w:rFonts w:cstheme="minorHAnsi"/>
          <w:b/>
          <w:sz w:val="20"/>
          <w:szCs w:val="20"/>
          <w:lang w:val="cs-CZ"/>
        </w:rPr>
      </w:pPr>
    </w:p>
    <w:tbl>
      <w:tblPr>
        <w:tblStyle w:val="Mkatabulky"/>
        <w:tblW w:w="0" w:type="auto"/>
        <w:tblLook w:val="04A0" w:firstRow="1" w:lastRow="0" w:firstColumn="1" w:lastColumn="0" w:noHBand="0" w:noVBand="1"/>
      </w:tblPr>
      <w:tblGrid>
        <w:gridCol w:w="9209"/>
      </w:tblGrid>
      <w:tr w:rsidR="002045EE" w14:paraId="40057783" w14:textId="77777777" w:rsidTr="000E332E">
        <w:tc>
          <w:tcPr>
            <w:tcW w:w="9209" w:type="dxa"/>
          </w:tcPr>
          <w:p w14:paraId="41291AD2" w14:textId="77777777" w:rsidR="002045EE" w:rsidRDefault="002045EE" w:rsidP="000E332E">
            <w:pPr>
              <w:jc w:val="both"/>
              <w:rPr>
                <w:rFonts w:cstheme="minorHAnsi"/>
                <w:b/>
              </w:rPr>
            </w:pPr>
            <w:r>
              <w:rPr>
                <w:rFonts w:cstheme="minorHAnsi"/>
                <w:b/>
              </w:rPr>
              <w:t>S</w:t>
            </w:r>
            <w:r w:rsidRPr="005973EB">
              <w:rPr>
                <w:rFonts w:cstheme="minorHAnsi"/>
                <w:b/>
              </w:rPr>
              <w:t>ebehodnocení:</w:t>
            </w:r>
          </w:p>
          <w:p w14:paraId="60F6CE3E" w14:textId="77777777" w:rsidR="002045EE" w:rsidRDefault="002045EE" w:rsidP="000E332E">
            <w:pPr>
              <w:jc w:val="both"/>
              <w:rPr>
                <w:rFonts w:cstheme="minorHAnsi"/>
                <w:b/>
              </w:rPr>
            </w:pPr>
          </w:p>
          <w:p w14:paraId="77530633" w14:textId="77777777" w:rsidR="002045EE" w:rsidRDefault="002045EE" w:rsidP="000E332E">
            <w:pPr>
              <w:jc w:val="both"/>
              <w:rPr>
                <w:rFonts w:cstheme="minorHAnsi"/>
                <w:b/>
              </w:rPr>
            </w:pPr>
          </w:p>
          <w:p w14:paraId="4721BF06" w14:textId="77777777" w:rsidR="002045EE" w:rsidRDefault="002045EE" w:rsidP="000E332E">
            <w:pPr>
              <w:jc w:val="both"/>
              <w:rPr>
                <w:rFonts w:cstheme="minorHAnsi"/>
                <w:b/>
              </w:rPr>
            </w:pPr>
          </w:p>
          <w:p w14:paraId="74AA239E" w14:textId="77777777" w:rsidR="002045EE" w:rsidRDefault="002045EE" w:rsidP="000E332E">
            <w:pPr>
              <w:jc w:val="both"/>
              <w:rPr>
                <w:rFonts w:cstheme="minorHAnsi"/>
                <w:b/>
              </w:rPr>
            </w:pPr>
          </w:p>
          <w:p w14:paraId="3E254774" w14:textId="77777777" w:rsidR="002045EE" w:rsidRDefault="002045EE" w:rsidP="000E332E">
            <w:pPr>
              <w:jc w:val="both"/>
              <w:rPr>
                <w:rFonts w:cstheme="minorHAnsi"/>
                <w:b/>
              </w:rPr>
            </w:pPr>
          </w:p>
          <w:p w14:paraId="37330C13" w14:textId="77777777" w:rsidR="002045EE" w:rsidRPr="005973EB" w:rsidRDefault="002045EE" w:rsidP="000E332E">
            <w:pPr>
              <w:jc w:val="both"/>
              <w:rPr>
                <w:rFonts w:cstheme="minorHAnsi"/>
                <w:b/>
              </w:rPr>
            </w:pPr>
          </w:p>
          <w:p w14:paraId="3C631410" w14:textId="77777777" w:rsidR="002045EE" w:rsidRDefault="002045EE" w:rsidP="000E332E">
            <w:pPr>
              <w:jc w:val="both"/>
              <w:rPr>
                <w:rFonts w:cstheme="minorHAnsi"/>
                <w:b/>
              </w:rPr>
            </w:pPr>
          </w:p>
        </w:tc>
      </w:tr>
    </w:tbl>
    <w:p w14:paraId="0BFD9FF0" w14:textId="77777777" w:rsidR="00D862D3" w:rsidRDefault="00D862D3" w:rsidP="00D862D3">
      <w:pPr>
        <w:rPr>
          <w:rFonts w:cstheme="minorHAnsi"/>
          <w:b/>
          <w:lang w:val="cs-CZ"/>
        </w:rPr>
      </w:pPr>
    </w:p>
    <w:p w14:paraId="1BED607A" w14:textId="77777777" w:rsidR="00D862D3" w:rsidRPr="0097716B" w:rsidRDefault="00D862D3" w:rsidP="002045EE">
      <w:pPr>
        <w:ind w:left="-567" w:firstLine="567"/>
        <w:jc w:val="both"/>
        <w:rPr>
          <w:rFonts w:cstheme="minorHAnsi"/>
          <w:b/>
          <w:sz w:val="22"/>
          <w:szCs w:val="22"/>
          <w:lang w:val="cs-CZ"/>
        </w:rPr>
      </w:pPr>
      <w:r w:rsidRPr="0097716B">
        <w:rPr>
          <w:rFonts w:cstheme="minorHAnsi"/>
          <w:b/>
          <w:sz w:val="22"/>
          <w:szCs w:val="22"/>
          <w:lang w:val="cs-CZ"/>
        </w:rPr>
        <w:t>Odkazy v HTML na podpůrné dokumenty:</w:t>
      </w:r>
    </w:p>
    <w:p w14:paraId="00ADBA82" w14:textId="77777777" w:rsidR="002045EE" w:rsidRDefault="002045EE" w:rsidP="00B811B2">
      <w:pPr>
        <w:rPr>
          <w:b/>
          <w:lang w:val="cs-CZ"/>
        </w:rPr>
      </w:pPr>
    </w:p>
    <w:p w14:paraId="50D66CE2" w14:textId="77777777" w:rsidR="002045EE" w:rsidRDefault="002045EE" w:rsidP="00B811B2">
      <w:pPr>
        <w:rPr>
          <w:b/>
          <w:lang w:val="cs-CZ"/>
        </w:rPr>
      </w:pPr>
    </w:p>
    <w:p w14:paraId="4D1BF211" w14:textId="77777777" w:rsidR="002045EE" w:rsidRDefault="002045EE" w:rsidP="00B811B2">
      <w:pPr>
        <w:rPr>
          <w:b/>
          <w:lang w:val="cs-CZ"/>
        </w:rPr>
      </w:pPr>
    </w:p>
    <w:p w14:paraId="44225975" w14:textId="77777777" w:rsidR="002045EE" w:rsidRDefault="002045EE" w:rsidP="00B811B2">
      <w:pPr>
        <w:rPr>
          <w:b/>
          <w:lang w:val="cs-CZ"/>
        </w:rPr>
      </w:pPr>
    </w:p>
    <w:tbl>
      <w:tblPr>
        <w:tblStyle w:val="Mkatabulky"/>
        <w:tblW w:w="9209" w:type="dxa"/>
        <w:tblLook w:val="04A0" w:firstRow="1" w:lastRow="0" w:firstColumn="1" w:lastColumn="0" w:noHBand="0" w:noVBand="1"/>
      </w:tblPr>
      <w:tblGrid>
        <w:gridCol w:w="9209"/>
      </w:tblGrid>
      <w:tr w:rsidR="002045EE" w14:paraId="7667177A" w14:textId="77777777" w:rsidTr="00D93B26">
        <w:tc>
          <w:tcPr>
            <w:tcW w:w="9209" w:type="dxa"/>
          </w:tcPr>
          <w:p w14:paraId="5DABB722" w14:textId="77777777" w:rsidR="002045EE" w:rsidRPr="000F31B0" w:rsidRDefault="002045EE" w:rsidP="000E332E">
            <w:pPr>
              <w:shd w:val="clear" w:color="auto" w:fill="90BDC5"/>
              <w:jc w:val="both"/>
              <w:rPr>
                <w:b/>
              </w:rPr>
            </w:pPr>
            <w:r w:rsidRPr="000F31B0">
              <w:rPr>
                <w:b/>
              </w:rPr>
              <w:t>4.18 Opatření tý</w:t>
            </w:r>
            <w:r>
              <w:rPr>
                <w:b/>
              </w:rPr>
              <w:t xml:space="preserve">kající se </w:t>
            </w:r>
            <w:r w:rsidRPr="00AA1782">
              <w:rPr>
                <w:b/>
              </w:rPr>
              <w:t>genderové rovnosti</w:t>
            </w:r>
            <w:r w:rsidRPr="000F31B0">
              <w:rPr>
                <w:b/>
              </w:rPr>
              <w:t xml:space="preserve"> </w:t>
            </w:r>
          </w:p>
          <w:p w14:paraId="1F9D7390" w14:textId="77777777" w:rsidR="002045EE" w:rsidRPr="00DE4CF4" w:rsidRDefault="002045EE" w:rsidP="000E332E">
            <w:pPr>
              <w:jc w:val="both"/>
              <w:rPr>
                <w:i/>
              </w:rPr>
            </w:pPr>
            <w:r w:rsidRPr="00DE4CF4">
              <w:rPr>
                <w:color w:val="808080" w:themeColor="background1" w:themeShade="80"/>
              </w:rPr>
              <w:t xml:space="preserve">Vysoká škola stručně popíše opatření týkající se uplatňování genderové rovnosti v oblastech požadovaných u hodnotících kritérií 4.14, 4.15 a 4.16 s důrazem na kariérní postup, proces náboru, obsazování vedoucích pozic (vč. genderové rovnováhy ve vedoucích pozicích viz tab. 4.18.1 a tab. 4.18.2), nominací do odborných orgánů, hodnocení a odměňování. Dále stručně popíše opatření ke slaďování rodinného a pracovního života výzkumných pracovníků (flexibilní pracovní doba, flexibilní formy práce, management mateřské / rodičovské dovolené, usnadňování péče o děti / o osobu blízkou, věkový management ve vztahu </w:t>
            </w:r>
            <w:proofErr w:type="gramStart"/>
            <w:r w:rsidRPr="00DE4CF4">
              <w:rPr>
                <w:color w:val="808080" w:themeColor="background1" w:themeShade="80"/>
              </w:rPr>
              <w:t>k</w:t>
            </w:r>
            <w:proofErr w:type="gramEnd"/>
            <w:r w:rsidRPr="00DE4CF4">
              <w:rPr>
                <w:color w:val="808080" w:themeColor="background1" w:themeShade="80"/>
              </w:rPr>
              <w:t xml:space="preserve"> genderu) a opatření eliminující negativní jevy chování na pracovišti, jako je </w:t>
            </w:r>
            <w:proofErr w:type="spellStart"/>
            <w:r w:rsidRPr="00DE4CF4">
              <w:rPr>
                <w:color w:val="808080" w:themeColor="background1" w:themeShade="80"/>
              </w:rPr>
              <w:t>mobbing</w:t>
            </w:r>
            <w:proofErr w:type="spellEnd"/>
            <w:r w:rsidRPr="00DE4CF4">
              <w:rPr>
                <w:color w:val="808080" w:themeColor="background1" w:themeShade="80"/>
              </w:rPr>
              <w:t xml:space="preserve"> či sexuální obtěžování.</w:t>
            </w:r>
          </w:p>
        </w:tc>
      </w:tr>
      <w:tr w:rsidR="00D862D3" w14:paraId="685E4DE2" w14:textId="77777777" w:rsidTr="00D93B26">
        <w:tc>
          <w:tcPr>
            <w:tcW w:w="9209" w:type="dxa"/>
          </w:tcPr>
          <w:p w14:paraId="2B5AB345" w14:textId="77777777" w:rsidR="00D862D3" w:rsidRDefault="00D862D3" w:rsidP="00892563">
            <w:pPr>
              <w:jc w:val="both"/>
              <w:rPr>
                <w:rFonts w:cstheme="minorHAnsi"/>
                <w:b/>
              </w:rPr>
            </w:pPr>
            <w:r>
              <w:rPr>
                <w:rFonts w:cstheme="minorHAnsi"/>
                <w:b/>
              </w:rPr>
              <w:lastRenderedPageBreak/>
              <w:t>S</w:t>
            </w:r>
            <w:r w:rsidRPr="005973EB">
              <w:rPr>
                <w:rFonts w:cstheme="minorHAnsi"/>
                <w:b/>
              </w:rPr>
              <w:t>ebehodnocení:</w:t>
            </w:r>
          </w:p>
          <w:p w14:paraId="519C38CE" w14:textId="77777777" w:rsidR="00D862D3" w:rsidRDefault="00D862D3" w:rsidP="00892563">
            <w:pPr>
              <w:jc w:val="both"/>
              <w:rPr>
                <w:rFonts w:cstheme="minorHAnsi"/>
                <w:b/>
              </w:rPr>
            </w:pPr>
          </w:p>
          <w:p w14:paraId="713C0F66" w14:textId="77777777" w:rsidR="00D862D3" w:rsidRDefault="00D862D3" w:rsidP="00892563">
            <w:pPr>
              <w:jc w:val="both"/>
              <w:rPr>
                <w:rFonts w:cstheme="minorHAnsi"/>
                <w:b/>
              </w:rPr>
            </w:pPr>
          </w:p>
          <w:p w14:paraId="2827B0B8" w14:textId="77777777" w:rsidR="00D862D3" w:rsidRDefault="00D862D3" w:rsidP="00892563">
            <w:pPr>
              <w:jc w:val="both"/>
              <w:rPr>
                <w:rFonts w:cstheme="minorHAnsi"/>
                <w:b/>
              </w:rPr>
            </w:pPr>
          </w:p>
          <w:p w14:paraId="15B355A4" w14:textId="77777777" w:rsidR="00D862D3" w:rsidRDefault="00D862D3" w:rsidP="00892563">
            <w:pPr>
              <w:jc w:val="both"/>
              <w:rPr>
                <w:rFonts w:cstheme="minorHAnsi"/>
                <w:b/>
              </w:rPr>
            </w:pPr>
          </w:p>
          <w:p w14:paraId="1BE94368" w14:textId="77777777" w:rsidR="00D862D3" w:rsidRDefault="00D862D3" w:rsidP="00892563">
            <w:pPr>
              <w:jc w:val="both"/>
              <w:rPr>
                <w:rFonts w:cstheme="minorHAnsi"/>
                <w:b/>
              </w:rPr>
            </w:pPr>
          </w:p>
          <w:p w14:paraId="5ECBA38D" w14:textId="77777777" w:rsidR="00D862D3" w:rsidRPr="005973EB" w:rsidRDefault="00D862D3" w:rsidP="00892563">
            <w:pPr>
              <w:jc w:val="both"/>
              <w:rPr>
                <w:rFonts w:cstheme="minorHAnsi"/>
                <w:b/>
              </w:rPr>
            </w:pPr>
          </w:p>
          <w:p w14:paraId="454E4FF5" w14:textId="77777777" w:rsidR="00D862D3" w:rsidRDefault="00D862D3" w:rsidP="00892563">
            <w:pPr>
              <w:jc w:val="both"/>
              <w:rPr>
                <w:rFonts w:cstheme="minorHAnsi"/>
                <w:b/>
              </w:rPr>
            </w:pPr>
          </w:p>
        </w:tc>
      </w:tr>
    </w:tbl>
    <w:p w14:paraId="6B7553B9" w14:textId="77777777" w:rsidR="000F226D" w:rsidRDefault="000F226D" w:rsidP="00FE58F8">
      <w:pPr>
        <w:jc w:val="both"/>
        <w:rPr>
          <w:rFonts w:cstheme="minorHAnsi"/>
          <w:b/>
          <w:sz w:val="22"/>
          <w:szCs w:val="22"/>
          <w:lang w:val="cs-CZ"/>
        </w:rPr>
      </w:pPr>
    </w:p>
    <w:p w14:paraId="0362215F" w14:textId="1C26FF33" w:rsidR="00C13C77" w:rsidRDefault="00D862D3" w:rsidP="00FE58F8">
      <w:pPr>
        <w:jc w:val="both"/>
        <w:rPr>
          <w:rFonts w:cstheme="minorHAnsi"/>
          <w:b/>
          <w:sz w:val="22"/>
          <w:szCs w:val="22"/>
          <w:lang w:val="cs-CZ"/>
        </w:rPr>
      </w:pPr>
      <w:r w:rsidRPr="0097716B">
        <w:rPr>
          <w:rFonts w:cstheme="minorHAnsi"/>
          <w:b/>
          <w:sz w:val="22"/>
          <w:szCs w:val="22"/>
          <w:lang w:val="cs-CZ"/>
        </w:rPr>
        <w:t>Odkazy v HTML na podpůrné dokumenty:</w:t>
      </w:r>
    </w:p>
    <w:p w14:paraId="4EE7F38C" w14:textId="77777777" w:rsidR="00DE4CF4" w:rsidRDefault="00DE4CF4" w:rsidP="00FE58F8">
      <w:pPr>
        <w:jc w:val="both"/>
        <w:rPr>
          <w:rFonts w:cstheme="minorHAnsi"/>
          <w:b/>
          <w:sz w:val="22"/>
          <w:szCs w:val="22"/>
          <w:lang w:val="cs-CZ"/>
        </w:rPr>
      </w:pPr>
    </w:p>
    <w:p w14:paraId="3DC612D7" w14:textId="77777777" w:rsidR="00DE4CF4" w:rsidRDefault="00DE4CF4" w:rsidP="00FE58F8">
      <w:pPr>
        <w:jc w:val="both"/>
        <w:rPr>
          <w:rFonts w:cstheme="minorHAnsi"/>
          <w:b/>
          <w:sz w:val="22"/>
          <w:szCs w:val="22"/>
          <w:lang w:val="cs-CZ"/>
        </w:rPr>
      </w:pPr>
    </w:p>
    <w:p w14:paraId="33771ABA" w14:textId="77777777" w:rsidR="00DE4CF4" w:rsidRDefault="00DE4CF4" w:rsidP="00FE58F8">
      <w:pPr>
        <w:jc w:val="both"/>
        <w:rPr>
          <w:rFonts w:cstheme="minorHAnsi"/>
          <w:b/>
          <w:sz w:val="22"/>
          <w:szCs w:val="22"/>
          <w:lang w:val="cs-CZ"/>
        </w:rPr>
      </w:pPr>
    </w:p>
    <w:p w14:paraId="7B491561" w14:textId="77777777" w:rsidR="00DE4CF4" w:rsidRPr="00FE58F8" w:rsidRDefault="00DE4CF4" w:rsidP="00FE58F8">
      <w:pPr>
        <w:jc w:val="both"/>
        <w:rPr>
          <w:rFonts w:cstheme="minorHAnsi"/>
          <w:b/>
          <w:sz w:val="22"/>
          <w:szCs w:val="22"/>
          <w:lang w:val="cs-CZ"/>
        </w:rPr>
      </w:pPr>
    </w:p>
    <w:p w14:paraId="49839E34" w14:textId="326AA5AE" w:rsidR="00EE70B8" w:rsidRPr="005E0A69" w:rsidRDefault="00EE70B8" w:rsidP="00CA1F26">
      <w:pPr>
        <w:pStyle w:val="Nadpis3"/>
        <w:rPr>
          <w:lang w:val="cs-CZ"/>
        </w:rPr>
      </w:pPr>
      <w:bookmarkStart w:id="16" w:name="_Toc13829026"/>
      <w:r w:rsidRPr="00EE70B8">
        <w:rPr>
          <w:lang w:val="cs-CZ"/>
        </w:rPr>
        <w:t>FINANČNÍ ZDROJE PRO VAVAI</w:t>
      </w:r>
      <w:bookmarkEnd w:id="16"/>
    </w:p>
    <w:p w14:paraId="5A6A0846" w14:textId="77777777" w:rsidR="00EE70B8" w:rsidRDefault="00EE70B8" w:rsidP="00EE70B8">
      <w:pPr>
        <w:jc w:val="both"/>
        <w:rPr>
          <w:b/>
          <w:lang w:val="cs-CZ"/>
        </w:rPr>
      </w:pPr>
    </w:p>
    <w:tbl>
      <w:tblPr>
        <w:tblStyle w:val="Mkatabulky"/>
        <w:tblW w:w="9209" w:type="dxa"/>
        <w:tblLook w:val="04A0" w:firstRow="1" w:lastRow="0" w:firstColumn="1" w:lastColumn="0" w:noHBand="0" w:noVBand="1"/>
      </w:tblPr>
      <w:tblGrid>
        <w:gridCol w:w="9209"/>
      </w:tblGrid>
      <w:tr w:rsidR="00EE70B8" w14:paraId="1BC453C2" w14:textId="77777777" w:rsidTr="00320A4E">
        <w:tc>
          <w:tcPr>
            <w:tcW w:w="9209" w:type="dxa"/>
          </w:tcPr>
          <w:p w14:paraId="51601E6C" w14:textId="4BFB415F" w:rsidR="00EE70B8" w:rsidRPr="00375A49" w:rsidRDefault="00EE70B8" w:rsidP="00DD5905">
            <w:pPr>
              <w:shd w:val="clear" w:color="auto" w:fill="90BDC5"/>
              <w:jc w:val="both"/>
              <w:rPr>
                <w:b/>
              </w:rPr>
            </w:pPr>
            <w:r w:rsidRPr="00C30C2D">
              <w:rPr>
                <w:b/>
              </w:rPr>
              <w:t>4.19 Struktura finančních zdrojů pro VaVaI</w:t>
            </w:r>
            <w:r w:rsidRPr="00375A49">
              <w:rPr>
                <w:b/>
              </w:rPr>
              <w:t xml:space="preserve"> </w:t>
            </w:r>
          </w:p>
          <w:p w14:paraId="35CEB85D" w14:textId="77777777" w:rsidR="00DE4CF4" w:rsidRPr="00DE4CF4" w:rsidRDefault="00DE4CF4" w:rsidP="00DE4CF4">
            <w:pPr>
              <w:jc w:val="both"/>
              <w:rPr>
                <w:color w:val="808080" w:themeColor="background1" w:themeShade="80"/>
              </w:rPr>
            </w:pPr>
            <w:r w:rsidRPr="00DE4CF4">
              <w:rPr>
                <w:color w:val="808080" w:themeColor="background1" w:themeShade="80"/>
              </w:rPr>
              <w:t>Vysoká škola okomentuje podíly z celkových nákladů / výdajů hrazených z veřejných i neveřejných zdrojů podle druhu VaVaI za hodnocené období 2014 až 2018 podle tab. 4.19.1 z přílohy.</w:t>
            </w:r>
          </w:p>
          <w:p w14:paraId="5683A00D" w14:textId="77777777" w:rsidR="00DE4CF4" w:rsidRPr="00DE4CF4" w:rsidRDefault="00DE4CF4" w:rsidP="00DE4CF4">
            <w:pPr>
              <w:pStyle w:val="Textkomente"/>
              <w:rPr>
                <w:color w:val="808080" w:themeColor="background1" w:themeShade="80"/>
                <w:sz w:val="22"/>
                <w:szCs w:val="22"/>
              </w:rPr>
            </w:pPr>
          </w:p>
          <w:p w14:paraId="129FEB84" w14:textId="77777777" w:rsidR="00DE4CF4" w:rsidRPr="00DE4CF4" w:rsidRDefault="00DE4CF4" w:rsidP="00DE4CF4">
            <w:pPr>
              <w:pStyle w:val="Textkomente"/>
              <w:jc w:val="both"/>
              <w:rPr>
                <w:color w:val="808080" w:themeColor="background1" w:themeShade="80"/>
                <w:sz w:val="22"/>
                <w:szCs w:val="22"/>
              </w:rPr>
            </w:pPr>
            <w:r w:rsidRPr="00DE4CF4">
              <w:rPr>
                <w:color w:val="808080" w:themeColor="background1" w:themeShade="80"/>
                <w:sz w:val="22"/>
                <w:szCs w:val="22"/>
              </w:rPr>
              <w:t>Jako komplementární údaj vysoká škola uvede přehled výzkumných projektů získaných za hodnocené období 2014 až 2018. Připojí informace o výši získaných prostředků a o tom, zda šlo o projekty řešitelské, nebo spoluřešitelské v tab. 4.19.2, 4.19.3 a 4.19.4 z přílohy. Údaje v tabulkách stručně okomentuje.</w:t>
            </w:r>
          </w:p>
          <w:p w14:paraId="1C1AE3CC" w14:textId="77777777" w:rsidR="00DE4CF4" w:rsidRPr="00DE4CF4" w:rsidRDefault="00DE4CF4" w:rsidP="00DE4CF4">
            <w:pPr>
              <w:widowControl w:val="0"/>
              <w:autoSpaceDE w:val="0"/>
              <w:autoSpaceDN w:val="0"/>
              <w:adjustRightInd w:val="0"/>
              <w:spacing w:line="240" w:lineRule="atLeast"/>
              <w:contextualSpacing/>
              <w:jc w:val="both"/>
              <w:rPr>
                <w:color w:val="808080" w:themeColor="background1" w:themeShade="80"/>
              </w:rPr>
            </w:pPr>
          </w:p>
          <w:p w14:paraId="279860BF" w14:textId="56DBE58A" w:rsidR="00C347E8" w:rsidRPr="00DE4CF4" w:rsidRDefault="00DE4CF4" w:rsidP="004C27A1">
            <w:pPr>
              <w:jc w:val="both"/>
              <w:rPr>
                <w:i/>
              </w:rPr>
            </w:pPr>
            <w:r w:rsidRPr="00DE4CF4">
              <w:rPr>
                <w:color w:val="808080" w:themeColor="background1" w:themeShade="80"/>
              </w:rPr>
              <w:t>Dále vysoká škola uvede seznam nejvýše 5 nejvýznamnějších projektů z výše požadovaného soupisu zahraničních prestižních individuálních projektů (ERC</w:t>
            </w:r>
            <w:r w:rsidR="004C27A1">
              <w:rPr>
                <w:rStyle w:val="Znakapoznpodarou"/>
                <w:color w:val="808080" w:themeColor="background1" w:themeShade="80"/>
              </w:rPr>
              <w:footnoteReference w:id="3"/>
            </w:r>
            <w:r w:rsidRPr="00DE4CF4">
              <w:rPr>
                <w:color w:val="808080" w:themeColor="background1" w:themeShade="80"/>
              </w:rPr>
              <w:t>, MSCA</w:t>
            </w:r>
            <w:r w:rsidR="004C27A1">
              <w:rPr>
                <w:rStyle w:val="Znakapoznpodarou"/>
                <w:color w:val="808080" w:themeColor="background1" w:themeShade="80"/>
              </w:rPr>
              <w:footnoteReference w:id="4"/>
            </w:r>
            <w:r w:rsidRPr="00DE4CF4">
              <w:rPr>
                <w:color w:val="808080" w:themeColor="background1" w:themeShade="80"/>
              </w:rPr>
              <w:t>, HHMI</w:t>
            </w:r>
            <w:r w:rsidR="004C27A1">
              <w:rPr>
                <w:rStyle w:val="Znakapoznpodarou"/>
                <w:color w:val="808080" w:themeColor="background1" w:themeShade="80"/>
              </w:rPr>
              <w:footnoteReference w:id="5"/>
            </w:r>
            <w:r w:rsidRPr="00DE4CF4">
              <w:rPr>
                <w:color w:val="808080" w:themeColor="background1" w:themeShade="80"/>
              </w:rPr>
              <w:t>,</w:t>
            </w:r>
            <w:r w:rsidR="004C27A1">
              <w:rPr>
                <w:color w:val="808080" w:themeColor="background1" w:themeShade="80"/>
              </w:rPr>
              <w:t xml:space="preserve"> </w:t>
            </w:r>
            <w:r w:rsidRPr="00DE4CF4">
              <w:rPr>
                <w:color w:val="808080" w:themeColor="background1" w:themeShade="80"/>
              </w:rPr>
              <w:t>HFSP</w:t>
            </w:r>
            <w:r w:rsidR="004C27A1">
              <w:rPr>
                <w:rStyle w:val="Znakapoznpodarou"/>
                <w:color w:val="808080" w:themeColor="background1" w:themeShade="80"/>
              </w:rPr>
              <w:footnoteReference w:id="6"/>
            </w:r>
            <w:r w:rsidRPr="00DE4CF4">
              <w:rPr>
                <w:color w:val="808080" w:themeColor="background1" w:themeShade="80"/>
              </w:rPr>
              <w:t>, NSF</w:t>
            </w:r>
            <w:r w:rsidR="004C27A1">
              <w:rPr>
                <w:rStyle w:val="Znakapoznpodarou"/>
                <w:color w:val="808080" w:themeColor="background1" w:themeShade="80"/>
              </w:rPr>
              <w:footnoteReference w:id="7"/>
            </w:r>
            <w:r w:rsidRPr="00DE4CF4">
              <w:rPr>
                <w:color w:val="808080" w:themeColor="background1" w:themeShade="80"/>
              </w:rPr>
              <w:t xml:space="preserve"> atd.) s uvedením základních informací (dle zvážení vysoké školy a bez ohledu na poskytovatele: název, odborné zaměření, agentura, objem finančních prostředků, ostatní účastníci projektu, případně další vhodné informace).</w:t>
            </w:r>
          </w:p>
        </w:tc>
      </w:tr>
    </w:tbl>
    <w:p w14:paraId="61C655A3" w14:textId="77777777" w:rsidR="00D862D3" w:rsidRDefault="00D862D3" w:rsidP="00D862D3">
      <w:pPr>
        <w:jc w:val="both"/>
        <w:rPr>
          <w:rFonts w:cstheme="minorHAnsi"/>
          <w:b/>
          <w:sz w:val="20"/>
          <w:szCs w:val="20"/>
          <w:lang w:val="cs-CZ"/>
        </w:rPr>
      </w:pPr>
    </w:p>
    <w:tbl>
      <w:tblPr>
        <w:tblStyle w:val="Mkatabulky"/>
        <w:tblW w:w="0" w:type="auto"/>
        <w:tblLook w:val="04A0" w:firstRow="1" w:lastRow="0" w:firstColumn="1" w:lastColumn="0" w:noHBand="0" w:noVBand="1"/>
      </w:tblPr>
      <w:tblGrid>
        <w:gridCol w:w="9209"/>
      </w:tblGrid>
      <w:tr w:rsidR="002045EE" w14:paraId="6B945E87" w14:textId="77777777" w:rsidTr="000E332E">
        <w:tc>
          <w:tcPr>
            <w:tcW w:w="9209" w:type="dxa"/>
          </w:tcPr>
          <w:p w14:paraId="7F8420CB" w14:textId="77777777" w:rsidR="002045EE" w:rsidRDefault="002045EE" w:rsidP="000E332E">
            <w:pPr>
              <w:jc w:val="both"/>
              <w:rPr>
                <w:rFonts w:cstheme="minorHAnsi"/>
                <w:b/>
              </w:rPr>
            </w:pPr>
            <w:r>
              <w:rPr>
                <w:rFonts w:cstheme="minorHAnsi"/>
                <w:b/>
              </w:rPr>
              <w:t>S</w:t>
            </w:r>
            <w:r w:rsidRPr="005973EB">
              <w:rPr>
                <w:rFonts w:cstheme="minorHAnsi"/>
                <w:b/>
              </w:rPr>
              <w:t>ebehodnocení:</w:t>
            </w:r>
          </w:p>
          <w:p w14:paraId="0AEAF70C" w14:textId="77777777" w:rsidR="002045EE" w:rsidRDefault="002045EE" w:rsidP="000E332E">
            <w:pPr>
              <w:jc w:val="both"/>
              <w:rPr>
                <w:rFonts w:cstheme="minorHAnsi"/>
                <w:b/>
              </w:rPr>
            </w:pPr>
          </w:p>
          <w:p w14:paraId="73143F07" w14:textId="77777777" w:rsidR="002045EE" w:rsidRDefault="002045EE" w:rsidP="000E332E">
            <w:pPr>
              <w:jc w:val="both"/>
              <w:rPr>
                <w:rFonts w:cstheme="minorHAnsi"/>
                <w:b/>
              </w:rPr>
            </w:pPr>
          </w:p>
          <w:p w14:paraId="6AC2EE2B" w14:textId="77777777" w:rsidR="002045EE" w:rsidRDefault="002045EE" w:rsidP="000E332E">
            <w:pPr>
              <w:jc w:val="both"/>
              <w:rPr>
                <w:rFonts w:cstheme="minorHAnsi"/>
                <w:b/>
              </w:rPr>
            </w:pPr>
          </w:p>
          <w:p w14:paraId="5337E6EC" w14:textId="77777777" w:rsidR="002045EE" w:rsidRDefault="002045EE" w:rsidP="000E332E">
            <w:pPr>
              <w:jc w:val="both"/>
              <w:rPr>
                <w:rFonts w:cstheme="minorHAnsi"/>
                <w:b/>
              </w:rPr>
            </w:pPr>
          </w:p>
          <w:p w14:paraId="22A2DCE1" w14:textId="77777777" w:rsidR="002045EE" w:rsidRDefault="002045EE" w:rsidP="000E332E">
            <w:pPr>
              <w:jc w:val="both"/>
              <w:rPr>
                <w:rFonts w:cstheme="minorHAnsi"/>
                <w:b/>
              </w:rPr>
            </w:pPr>
          </w:p>
          <w:p w14:paraId="5D0061DA" w14:textId="77777777" w:rsidR="002045EE" w:rsidRPr="005973EB" w:rsidRDefault="002045EE" w:rsidP="000E332E">
            <w:pPr>
              <w:jc w:val="both"/>
              <w:rPr>
                <w:rFonts w:cstheme="minorHAnsi"/>
                <w:b/>
              </w:rPr>
            </w:pPr>
          </w:p>
          <w:p w14:paraId="72B6D849" w14:textId="77777777" w:rsidR="002045EE" w:rsidRDefault="002045EE" w:rsidP="000E332E">
            <w:pPr>
              <w:jc w:val="both"/>
              <w:rPr>
                <w:rFonts w:cstheme="minorHAnsi"/>
                <w:b/>
              </w:rPr>
            </w:pPr>
          </w:p>
        </w:tc>
      </w:tr>
    </w:tbl>
    <w:p w14:paraId="35FB648B" w14:textId="77777777" w:rsidR="002045EE" w:rsidRDefault="002045EE" w:rsidP="002045EE">
      <w:pPr>
        <w:jc w:val="both"/>
        <w:rPr>
          <w:rFonts w:cstheme="minorHAnsi"/>
          <w:b/>
          <w:sz w:val="20"/>
          <w:szCs w:val="20"/>
          <w:lang w:val="cs-CZ"/>
        </w:rPr>
      </w:pPr>
    </w:p>
    <w:p w14:paraId="0C1D7D67" w14:textId="566391AC" w:rsidR="002045EE" w:rsidRPr="00102E38" w:rsidRDefault="00D862D3" w:rsidP="00102E38">
      <w:pPr>
        <w:jc w:val="both"/>
        <w:rPr>
          <w:rFonts w:cstheme="minorHAnsi"/>
          <w:b/>
          <w:sz w:val="22"/>
          <w:szCs w:val="22"/>
          <w:lang w:val="cs-CZ"/>
        </w:rPr>
      </w:pPr>
      <w:r w:rsidRPr="0097716B">
        <w:rPr>
          <w:rFonts w:cstheme="minorHAnsi"/>
          <w:b/>
          <w:sz w:val="22"/>
          <w:szCs w:val="22"/>
          <w:lang w:val="cs-CZ"/>
        </w:rPr>
        <w:t>Odkazy v HTML na podpůrné dokumenty:</w:t>
      </w:r>
    </w:p>
    <w:p w14:paraId="5B0627EE" w14:textId="61D595D9" w:rsidR="00EE70B8" w:rsidRDefault="00EE70B8" w:rsidP="00B811B2">
      <w:pPr>
        <w:rPr>
          <w:b/>
          <w:lang w:val="cs-CZ"/>
        </w:rPr>
      </w:pPr>
    </w:p>
    <w:tbl>
      <w:tblPr>
        <w:tblStyle w:val="Mkatabulky"/>
        <w:tblW w:w="9209" w:type="dxa"/>
        <w:tblLook w:val="04A0" w:firstRow="1" w:lastRow="0" w:firstColumn="1" w:lastColumn="0" w:noHBand="0" w:noVBand="1"/>
      </w:tblPr>
      <w:tblGrid>
        <w:gridCol w:w="9209"/>
      </w:tblGrid>
      <w:tr w:rsidR="00EE70B8" w14:paraId="7DEC1387" w14:textId="77777777" w:rsidTr="00686516">
        <w:tc>
          <w:tcPr>
            <w:tcW w:w="9209" w:type="dxa"/>
          </w:tcPr>
          <w:p w14:paraId="5A23E3C3" w14:textId="77777777" w:rsidR="00EE70B8" w:rsidRDefault="00EE70B8" w:rsidP="00DD73FF">
            <w:pPr>
              <w:shd w:val="clear" w:color="auto" w:fill="90BDC5"/>
              <w:jc w:val="both"/>
              <w:rPr>
                <w:b/>
              </w:rPr>
            </w:pPr>
            <w:r w:rsidRPr="00375A49">
              <w:rPr>
                <w:b/>
              </w:rPr>
              <w:t xml:space="preserve">4.20 Podpora získávání zahraničních výzkumných projektů </w:t>
            </w:r>
          </w:p>
          <w:p w14:paraId="18C36AEF" w14:textId="2DE58CD4" w:rsidR="00EE70B8" w:rsidRPr="00EE70B8" w:rsidRDefault="00EE70B8" w:rsidP="00DD73FF">
            <w:pPr>
              <w:shd w:val="clear" w:color="auto" w:fill="90BDC5"/>
              <w:jc w:val="both"/>
            </w:pPr>
            <w:r w:rsidRPr="00427A51">
              <w:t>(vč. strategie k získávání prestižních zahraničních finančních zdrojů pro VaVaI)</w:t>
            </w:r>
          </w:p>
          <w:p w14:paraId="1BEA131D" w14:textId="51813ACB" w:rsidR="00EE70B8" w:rsidRPr="00DE4CF4" w:rsidRDefault="00DE4CF4" w:rsidP="00EE70B8">
            <w:pPr>
              <w:jc w:val="both"/>
            </w:pPr>
            <w:r w:rsidRPr="00DE4CF4">
              <w:rPr>
                <w:color w:val="808080" w:themeColor="background1" w:themeShade="80"/>
              </w:rPr>
              <w:t>Vysoká škola stručně popíše strategii, nástroje a zavedený systém podpory získávání zahraničních výzkumných projektů, např. zajištění podpůrné administrativy, projektové poradenství, řízení informací o VaVaI, organizaci projektového managementu, existenci podpůrných finančních zdrojů (interních dotačních titulů) pomáhajících přípravě kvalitních přihlášek atd.</w:t>
            </w:r>
          </w:p>
        </w:tc>
      </w:tr>
    </w:tbl>
    <w:p w14:paraId="35896932" w14:textId="77777777" w:rsidR="00D862D3" w:rsidRPr="005973EB" w:rsidRDefault="00D862D3" w:rsidP="00D862D3">
      <w:pPr>
        <w:jc w:val="both"/>
        <w:rPr>
          <w:rFonts w:cstheme="minorHAnsi"/>
          <w:b/>
          <w:sz w:val="20"/>
          <w:szCs w:val="20"/>
          <w:lang w:val="cs-CZ"/>
        </w:rPr>
      </w:pPr>
    </w:p>
    <w:tbl>
      <w:tblPr>
        <w:tblStyle w:val="Mkatabulky"/>
        <w:tblW w:w="0" w:type="auto"/>
        <w:tblLook w:val="04A0" w:firstRow="1" w:lastRow="0" w:firstColumn="1" w:lastColumn="0" w:noHBand="0" w:noVBand="1"/>
      </w:tblPr>
      <w:tblGrid>
        <w:gridCol w:w="9209"/>
      </w:tblGrid>
      <w:tr w:rsidR="00D862D3" w14:paraId="041BFDE3" w14:textId="77777777" w:rsidTr="00892563">
        <w:tc>
          <w:tcPr>
            <w:tcW w:w="9209" w:type="dxa"/>
          </w:tcPr>
          <w:p w14:paraId="73956EFD" w14:textId="77777777" w:rsidR="00D862D3" w:rsidRDefault="00D862D3" w:rsidP="00892563">
            <w:pPr>
              <w:jc w:val="both"/>
              <w:rPr>
                <w:rFonts w:cstheme="minorHAnsi"/>
                <w:b/>
              </w:rPr>
            </w:pPr>
            <w:r>
              <w:rPr>
                <w:rFonts w:cstheme="minorHAnsi"/>
                <w:b/>
              </w:rPr>
              <w:t>S</w:t>
            </w:r>
            <w:r w:rsidRPr="005973EB">
              <w:rPr>
                <w:rFonts w:cstheme="minorHAnsi"/>
                <w:b/>
              </w:rPr>
              <w:t>ebehodnocení:</w:t>
            </w:r>
          </w:p>
          <w:p w14:paraId="46CFD938" w14:textId="77777777" w:rsidR="00D862D3" w:rsidRDefault="00D862D3" w:rsidP="00892563">
            <w:pPr>
              <w:jc w:val="both"/>
              <w:rPr>
                <w:rFonts w:cstheme="minorHAnsi"/>
                <w:b/>
              </w:rPr>
            </w:pPr>
          </w:p>
          <w:p w14:paraId="2ECD162E" w14:textId="77777777" w:rsidR="00D862D3" w:rsidRDefault="00D862D3" w:rsidP="00892563">
            <w:pPr>
              <w:jc w:val="both"/>
              <w:rPr>
                <w:rFonts w:cstheme="minorHAnsi"/>
                <w:b/>
              </w:rPr>
            </w:pPr>
          </w:p>
          <w:p w14:paraId="0CD8BE94" w14:textId="77777777" w:rsidR="00D862D3" w:rsidRDefault="00D862D3" w:rsidP="00892563">
            <w:pPr>
              <w:jc w:val="both"/>
              <w:rPr>
                <w:rFonts w:cstheme="minorHAnsi"/>
                <w:b/>
              </w:rPr>
            </w:pPr>
          </w:p>
          <w:p w14:paraId="7213DB66" w14:textId="77777777" w:rsidR="00D862D3" w:rsidRDefault="00D862D3" w:rsidP="00892563">
            <w:pPr>
              <w:jc w:val="both"/>
              <w:rPr>
                <w:rFonts w:cstheme="minorHAnsi"/>
                <w:b/>
              </w:rPr>
            </w:pPr>
          </w:p>
          <w:p w14:paraId="7ED4DBA0" w14:textId="77777777" w:rsidR="00D862D3" w:rsidRDefault="00D862D3" w:rsidP="00892563">
            <w:pPr>
              <w:jc w:val="both"/>
              <w:rPr>
                <w:rFonts w:cstheme="minorHAnsi"/>
                <w:b/>
              </w:rPr>
            </w:pPr>
          </w:p>
          <w:p w14:paraId="46FA87D4" w14:textId="77777777" w:rsidR="00D862D3" w:rsidRPr="005973EB" w:rsidRDefault="00D862D3" w:rsidP="00892563">
            <w:pPr>
              <w:jc w:val="both"/>
              <w:rPr>
                <w:rFonts w:cstheme="minorHAnsi"/>
                <w:b/>
              </w:rPr>
            </w:pPr>
          </w:p>
          <w:p w14:paraId="1439AFDA" w14:textId="77777777" w:rsidR="00D862D3" w:rsidRDefault="00D862D3" w:rsidP="00892563">
            <w:pPr>
              <w:jc w:val="both"/>
              <w:rPr>
                <w:rFonts w:cstheme="minorHAnsi"/>
                <w:b/>
              </w:rPr>
            </w:pPr>
          </w:p>
        </w:tc>
      </w:tr>
    </w:tbl>
    <w:p w14:paraId="40E7B014" w14:textId="77777777" w:rsidR="00D862D3" w:rsidRDefault="00D862D3" w:rsidP="00D862D3">
      <w:pPr>
        <w:rPr>
          <w:rFonts w:cstheme="minorHAnsi"/>
          <w:b/>
          <w:lang w:val="cs-CZ"/>
        </w:rPr>
      </w:pPr>
    </w:p>
    <w:p w14:paraId="135AB51A" w14:textId="77777777" w:rsidR="00D862D3" w:rsidRPr="0097716B" w:rsidRDefault="00D862D3" w:rsidP="00D862D3">
      <w:pPr>
        <w:jc w:val="both"/>
        <w:rPr>
          <w:rFonts w:cstheme="minorHAnsi"/>
          <w:b/>
          <w:sz w:val="22"/>
          <w:szCs w:val="22"/>
          <w:lang w:val="cs-CZ"/>
        </w:rPr>
      </w:pPr>
      <w:r w:rsidRPr="0097716B">
        <w:rPr>
          <w:rFonts w:cstheme="minorHAnsi"/>
          <w:b/>
          <w:sz w:val="22"/>
          <w:szCs w:val="22"/>
          <w:lang w:val="cs-CZ"/>
        </w:rPr>
        <w:t>Odkazy v HTML na podpůrné dokumenty:</w:t>
      </w:r>
    </w:p>
    <w:p w14:paraId="64B613A2" w14:textId="77777777" w:rsidR="00EE70B8" w:rsidRDefault="00EE70B8" w:rsidP="00EE70B8">
      <w:pPr>
        <w:jc w:val="both"/>
        <w:rPr>
          <w:rFonts w:cstheme="minorHAnsi"/>
          <w:b/>
          <w:sz w:val="20"/>
          <w:szCs w:val="20"/>
          <w:lang w:val="cs-CZ"/>
        </w:rPr>
      </w:pPr>
    </w:p>
    <w:p w14:paraId="72AD3CFA" w14:textId="77777777" w:rsidR="000966FC" w:rsidRDefault="000966FC">
      <w:pPr>
        <w:rPr>
          <w:rFonts w:cstheme="minorHAnsi"/>
          <w:b/>
          <w:color w:val="FF0000"/>
          <w:lang w:val="cs-CZ"/>
        </w:rPr>
      </w:pPr>
    </w:p>
    <w:p w14:paraId="7394E21A" w14:textId="77777777" w:rsidR="00AE1878" w:rsidRDefault="00AE1878">
      <w:pPr>
        <w:rPr>
          <w:rFonts w:cstheme="minorHAnsi"/>
          <w:b/>
          <w:color w:val="FF0000"/>
          <w:lang w:val="cs-CZ"/>
        </w:rPr>
      </w:pPr>
    </w:p>
    <w:p w14:paraId="28C31F33" w14:textId="77777777" w:rsidR="00AE1878" w:rsidRDefault="00AE1878">
      <w:pPr>
        <w:rPr>
          <w:rFonts w:cstheme="minorHAnsi"/>
          <w:b/>
          <w:color w:val="FF0000"/>
          <w:lang w:val="cs-CZ"/>
        </w:rPr>
      </w:pPr>
    </w:p>
    <w:p w14:paraId="4A83E1F5" w14:textId="6150CB52" w:rsidR="005E0A69" w:rsidRPr="00AE1878" w:rsidRDefault="005E0A69" w:rsidP="00AE1878">
      <w:pPr>
        <w:pStyle w:val="Nadpis3"/>
        <w:rPr>
          <w:rFonts w:cstheme="minorHAnsi"/>
          <w:lang w:val="cs-CZ"/>
        </w:rPr>
      </w:pPr>
      <w:bookmarkStart w:id="17" w:name="_Toc13829027"/>
      <w:r w:rsidRPr="005E0A69">
        <w:rPr>
          <w:lang w:val="cs-CZ"/>
        </w:rPr>
        <w:t>FORMATIVNÍ HODNOCENÍ VAVAI A START-UP STRATEGIE (S APLIKAČNÍM POTENCIÁLEM)</w:t>
      </w:r>
      <w:bookmarkEnd w:id="17"/>
    </w:p>
    <w:p w14:paraId="51C502F1" w14:textId="77777777" w:rsidR="005E0A69" w:rsidRDefault="005E0A69" w:rsidP="005E0A69">
      <w:pPr>
        <w:jc w:val="both"/>
        <w:rPr>
          <w:b/>
          <w:lang w:val="cs-CZ"/>
        </w:rPr>
      </w:pPr>
    </w:p>
    <w:tbl>
      <w:tblPr>
        <w:tblStyle w:val="Mkatabulky"/>
        <w:tblW w:w="9209" w:type="dxa"/>
        <w:tblLook w:val="04A0" w:firstRow="1" w:lastRow="0" w:firstColumn="1" w:lastColumn="0" w:noHBand="0" w:noVBand="1"/>
      </w:tblPr>
      <w:tblGrid>
        <w:gridCol w:w="9209"/>
      </w:tblGrid>
      <w:tr w:rsidR="005E0A69" w14:paraId="664B444C" w14:textId="77777777" w:rsidTr="00686516">
        <w:tc>
          <w:tcPr>
            <w:tcW w:w="9209" w:type="dxa"/>
          </w:tcPr>
          <w:p w14:paraId="0E146BBB" w14:textId="77777777" w:rsidR="005E0A69" w:rsidRDefault="005E0A69" w:rsidP="00DD73FF">
            <w:pPr>
              <w:shd w:val="clear" w:color="auto" w:fill="90BDC5"/>
              <w:jc w:val="both"/>
              <w:rPr>
                <w:b/>
              </w:rPr>
            </w:pPr>
            <w:r w:rsidRPr="00375A49">
              <w:rPr>
                <w:b/>
              </w:rPr>
              <w:t xml:space="preserve">4.21 Interní a externí systém hodnocení výzkumných jednotek </w:t>
            </w:r>
          </w:p>
          <w:p w14:paraId="3E036AFB" w14:textId="40759FAD" w:rsidR="005E0A69" w:rsidRPr="00375A49" w:rsidRDefault="005E0A69" w:rsidP="00DD73FF">
            <w:pPr>
              <w:shd w:val="clear" w:color="auto" w:fill="90BDC5"/>
              <w:jc w:val="both"/>
              <w:rPr>
                <w:b/>
              </w:rPr>
            </w:pPr>
            <w:r w:rsidRPr="00427A51">
              <w:t>(skupin, týmů, kateder, ústavů)</w:t>
            </w:r>
          </w:p>
          <w:p w14:paraId="658CD16E" w14:textId="28D6F7D0" w:rsidR="005E0A69" w:rsidRPr="00DE4CF4" w:rsidRDefault="00DE4CF4" w:rsidP="005E0A69">
            <w:pPr>
              <w:jc w:val="both"/>
              <w:rPr>
                <w:i/>
              </w:rPr>
            </w:pPr>
            <w:r w:rsidRPr="00DE4CF4">
              <w:rPr>
                <w:color w:val="808080" w:themeColor="background1" w:themeShade="80"/>
              </w:rPr>
              <w:t>Vysoká škola stručně popíše systém vnitřního a vnějšího hodnocení výzkumných jednotek, respektive nastavení systému interního a externího monitoringu / hodnocení výzkumných týmů / skupin / kateder /ústavů (pokud takový systém existuje).</w:t>
            </w:r>
          </w:p>
        </w:tc>
      </w:tr>
    </w:tbl>
    <w:p w14:paraId="38B99AFD" w14:textId="77777777" w:rsidR="00D862D3" w:rsidRPr="005973EB" w:rsidRDefault="00D862D3" w:rsidP="00D862D3">
      <w:pPr>
        <w:jc w:val="both"/>
        <w:rPr>
          <w:rFonts w:cstheme="minorHAnsi"/>
          <w:b/>
          <w:sz w:val="20"/>
          <w:szCs w:val="20"/>
          <w:lang w:val="cs-CZ"/>
        </w:rPr>
      </w:pPr>
    </w:p>
    <w:tbl>
      <w:tblPr>
        <w:tblStyle w:val="Mkatabulky"/>
        <w:tblW w:w="0" w:type="auto"/>
        <w:tblLook w:val="04A0" w:firstRow="1" w:lastRow="0" w:firstColumn="1" w:lastColumn="0" w:noHBand="0" w:noVBand="1"/>
      </w:tblPr>
      <w:tblGrid>
        <w:gridCol w:w="9209"/>
      </w:tblGrid>
      <w:tr w:rsidR="00D862D3" w14:paraId="166CAA41" w14:textId="77777777" w:rsidTr="00892563">
        <w:tc>
          <w:tcPr>
            <w:tcW w:w="9209" w:type="dxa"/>
          </w:tcPr>
          <w:p w14:paraId="437BBB38" w14:textId="77777777" w:rsidR="00D862D3" w:rsidRDefault="00D862D3" w:rsidP="00892563">
            <w:pPr>
              <w:jc w:val="both"/>
              <w:rPr>
                <w:rFonts w:cstheme="minorHAnsi"/>
                <w:b/>
              </w:rPr>
            </w:pPr>
            <w:r>
              <w:rPr>
                <w:rFonts w:cstheme="minorHAnsi"/>
                <w:b/>
              </w:rPr>
              <w:t>S</w:t>
            </w:r>
            <w:r w:rsidRPr="005973EB">
              <w:rPr>
                <w:rFonts w:cstheme="minorHAnsi"/>
                <w:b/>
              </w:rPr>
              <w:t>ebehodnocení:</w:t>
            </w:r>
          </w:p>
          <w:p w14:paraId="7CCA2EFA" w14:textId="77777777" w:rsidR="00D862D3" w:rsidRDefault="00D862D3" w:rsidP="00892563">
            <w:pPr>
              <w:jc w:val="both"/>
              <w:rPr>
                <w:rFonts w:cstheme="minorHAnsi"/>
                <w:b/>
              </w:rPr>
            </w:pPr>
          </w:p>
          <w:p w14:paraId="737932A4" w14:textId="77777777" w:rsidR="00D862D3" w:rsidRDefault="00D862D3" w:rsidP="00892563">
            <w:pPr>
              <w:jc w:val="both"/>
              <w:rPr>
                <w:rFonts w:cstheme="minorHAnsi"/>
                <w:b/>
              </w:rPr>
            </w:pPr>
          </w:p>
          <w:p w14:paraId="0B98A74E" w14:textId="77777777" w:rsidR="00D862D3" w:rsidRDefault="00D862D3" w:rsidP="00892563">
            <w:pPr>
              <w:jc w:val="both"/>
              <w:rPr>
                <w:rFonts w:cstheme="minorHAnsi"/>
                <w:b/>
              </w:rPr>
            </w:pPr>
          </w:p>
          <w:p w14:paraId="7A571A33" w14:textId="77777777" w:rsidR="00D862D3" w:rsidRDefault="00D862D3" w:rsidP="00892563">
            <w:pPr>
              <w:jc w:val="both"/>
              <w:rPr>
                <w:rFonts w:cstheme="minorHAnsi"/>
                <w:b/>
              </w:rPr>
            </w:pPr>
          </w:p>
          <w:p w14:paraId="7A94FF93" w14:textId="77777777" w:rsidR="00D862D3" w:rsidRDefault="00D862D3" w:rsidP="00892563">
            <w:pPr>
              <w:jc w:val="both"/>
              <w:rPr>
                <w:rFonts w:cstheme="minorHAnsi"/>
                <w:b/>
              </w:rPr>
            </w:pPr>
          </w:p>
          <w:p w14:paraId="411D9DB8" w14:textId="77777777" w:rsidR="00D862D3" w:rsidRPr="005973EB" w:rsidRDefault="00D862D3" w:rsidP="00892563">
            <w:pPr>
              <w:jc w:val="both"/>
              <w:rPr>
                <w:rFonts w:cstheme="minorHAnsi"/>
                <w:b/>
              </w:rPr>
            </w:pPr>
          </w:p>
          <w:p w14:paraId="2838644D" w14:textId="77777777" w:rsidR="00D862D3" w:rsidRDefault="00D862D3" w:rsidP="00892563">
            <w:pPr>
              <w:jc w:val="both"/>
              <w:rPr>
                <w:rFonts w:cstheme="minorHAnsi"/>
                <w:b/>
              </w:rPr>
            </w:pPr>
          </w:p>
        </w:tc>
      </w:tr>
    </w:tbl>
    <w:p w14:paraId="61CC2FA4" w14:textId="77777777" w:rsidR="00D862D3" w:rsidRDefault="00D862D3" w:rsidP="00D862D3">
      <w:pPr>
        <w:rPr>
          <w:rFonts w:cstheme="minorHAnsi"/>
          <w:b/>
          <w:lang w:val="cs-CZ"/>
        </w:rPr>
      </w:pPr>
    </w:p>
    <w:p w14:paraId="714C90F9" w14:textId="77777777" w:rsidR="00D862D3" w:rsidRPr="0097716B" w:rsidRDefault="00D862D3" w:rsidP="00D862D3">
      <w:pPr>
        <w:jc w:val="both"/>
        <w:rPr>
          <w:rFonts w:cstheme="minorHAnsi"/>
          <w:b/>
          <w:sz w:val="22"/>
          <w:szCs w:val="22"/>
          <w:lang w:val="cs-CZ"/>
        </w:rPr>
      </w:pPr>
      <w:r w:rsidRPr="0097716B">
        <w:rPr>
          <w:rFonts w:cstheme="minorHAnsi"/>
          <w:b/>
          <w:sz w:val="22"/>
          <w:szCs w:val="22"/>
          <w:lang w:val="cs-CZ"/>
        </w:rPr>
        <w:t>Odkazy v HTML na podpůrné dokumenty:</w:t>
      </w:r>
    </w:p>
    <w:p w14:paraId="7088018E" w14:textId="77777777" w:rsidR="005E0A69" w:rsidRDefault="005E0A69" w:rsidP="005E0A69">
      <w:pPr>
        <w:jc w:val="both"/>
        <w:rPr>
          <w:rFonts w:cstheme="minorHAnsi"/>
          <w:b/>
          <w:sz w:val="20"/>
          <w:szCs w:val="20"/>
          <w:lang w:val="cs-CZ"/>
        </w:rPr>
      </w:pPr>
    </w:p>
    <w:p w14:paraId="2CB09EA5" w14:textId="77777777" w:rsidR="005E0A69" w:rsidRDefault="005E0A69" w:rsidP="005E0A69">
      <w:pPr>
        <w:jc w:val="both"/>
        <w:rPr>
          <w:b/>
          <w:lang w:val="cs-CZ"/>
        </w:rPr>
      </w:pPr>
    </w:p>
    <w:p w14:paraId="178236DB" w14:textId="77777777" w:rsidR="00DE4AB9" w:rsidRDefault="00DE4AB9" w:rsidP="005E0A69">
      <w:pPr>
        <w:jc w:val="both"/>
        <w:rPr>
          <w:b/>
          <w:lang w:val="cs-CZ"/>
        </w:rPr>
      </w:pPr>
    </w:p>
    <w:p w14:paraId="797F1D1D" w14:textId="77777777" w:rsidR="00DE4AB9" w:rsidRDefault="00DE4AB9" w:rsidP="005E0A69">
      <w:pPr>
        <w:jc w:val="both"/>
        <w:rPr>
          <w:b/>
          <w:lang w:val="cs-CZ"/>
        </w:rPr>
      </w:pPr>
    </w:p>
    <w:p w14:paraId="1C8CCC29" w14:textId="77777777" w:rsidR="00DE4AB9" w:rsidRDefault="00DE4AB9" w:rsidP="005E0A69">
      <w:pPr>
        <w:jc w:val="both"/>
        <w:rPr>
          <w:b/>
          <w:lang w:val="cs-CZ"/>
        </w:rPr>
      </w:pPr>
    </w:p>
    <w:p w14:paraId="608106A7" w14:textId="77777777" w:rsidR="00DE4AB9" w:rsidRDefault="00DE4AB9" w:rsidP="005E0A69">
      <w:pPr>
        <w:jc w:val="both"/>
        <w:rPr>
          <w:b/>
          <w:lang w:val="cs-CZ"/>
        </w:rPr>
      </w:pPr>
    </w:p>
    <w:p w14:paraId="69E48644" w14:textId="77777777" w:rsidR="00826B63" w:rsidRDefault="00826B63" w:rsidP="005E0A69">
      <w:pPr>
        <w:jc w:val="both"/>
        <w:rPr>
          <w:b/>
          <w:lang w:val="cs-CZ"/>
        </w:rPr>
      </w:pPr>
    </w:p>
    <w:tbl>
      <w:tblPr>
        <w:tblStyle w:val="Mkatabulky"/>
        <w:tblW w:w="9209" w:type="dxa"/>
        <w:tblLook w:val="04A0" w:firstRow="1" w:lastRow="0" w:firstColumn="1" w:lastColumn="0" w:noHBand="0" w:noVBand="1"/>
      </w:tblPr>
      <w:tblGrid>
        <w:gridCol w:w="9209"/>
      </w:tblGrid>
      <w:tr w:rsidR="005E0A69" w14:paraId="60B0FCCF" w14:textId="77777777" w:rsidTr="00686516">
        <w:tc>
          <w:tcPr>
            <w:tcW w:w="9209" w:type="dxa"/>
          </w:tcPr>
          <w:p w14:paraId="041DCBD3" w14:textId="77777777" w:rsidR="005E0A69" w:rsidRDefault="005E0A69" w:rsidP="00DD73FF">
            <w:pPr>
              <w:shd w:val="clear" w:color="auto" w:fill="90BDC5"/>
              <w:jc w:val="both"/>
              <w:rPr>
                <w:b/>
              </w:rPr>
            </w:pPr>
            <w:r w:rsidRPr="00375A49">
              <w:rPr>
                <w:b/>
              </w:rPr>
              <w:lastRenderedPageBreak/>
              <w:t xml:space="preserve">4.22 Podmínky vzniku nových týmů a zavádění nových výzkumných témat </w:t>
            </w:r>
          </w:p>
          <w:p w14:paraId="4200A178" w14:textId="7F216EA3" w:rsidR="005E0A69" w:rsidRPr="00375A49" w:rsidRDefault="005E0A69" w:rsidP="00DD73FF">
            <w:pPr>
              <w:shd w:val="clear" w:color="auto" w:fill="90BDC5"/>
              <w:jc w:val="both"/>
              <w:rPr>
                <w:b/>
              </w:rPr>
            </w:pPr>
            <w:r w:rsidRPr="00427A51">
              <w:t xml:space="preserve">(tzv. start-up </w:t>
            </w:r>
            <w:proofErr w:type="spellStart"/>
            <w:r w:rsidRPr="00427A51">
              <w:t>strateg</w:t>
            </w:r>
            <w:r>
              <w:t>y</w:t>
            </w:r>
            <w:proofErr w:type="spellEnd"/>
            <w:r w:rsidRPr="00427A51">
              <w:t>)</w:t>
            </w:r>
          </w:p>
          <w:p w14:paraId="685A064F" w14:textId="7B4DA633" w:rsidR="005E0A69" w:rsidRPr="00DE4CF4" w:rsidRDefault="00DE4CF4" w:rsidP="00DE4CF4">
            <w:pPr>
              <w:widowControl w:val="0"/>
              <w:autoSpaceDE w:val="0"/>
              <w:autoSpaceDN w:val="0"/>
              <w:adjustRightInd w:val="0"/>
              <w:spacing w:line="240" w:lineRule="atLeast"/>
              <w:jc w:val="both"/>
              <w:rPr>
                <w:b/>
              </w:rPr>
            </w:pPr>
            <w:r w:rsidRPr="00DE4CF4">
              <w:rPr>
                <w:color w:val="808080" w:themeColor="background1" w:themeShade="80"/>
              </w:rPr>
              <w:t>Vysoká škola popíše strategii/možnosti zakládání nových výzkumných týmů (včetně mezinárodních), jejich podporu v rámci působení na vysoké škole (sdílení přístrojového, laboratorního a informačního vybavení pro VaVaI) a koncepci zajištění podmínek pro vznik nových kvalitních výzkumných směrů / témat především s aplikačním potenciálem.</w:t>
            </w:r>
          </w:p>
        </w:tc>
      </w:tr>
    </w:tbl>
    <w:p w14:paraId="21629DF7" w14:textId="77777777" w:rsidR="00D862D3" w:rsidRPr="005973EB" w:rsidRDefault="00D862D3" w:rsidP="00D862D3">
      <w:pPr>
        <w:jc w:val="both"/>
        <w:rPr>
          <w:rFonts w:cstheme="minorHAnsi"/>
          <w:b/>
          <w:sz w:val="20"/>
          <w:szCs w:val="20"/>
          <w:lang w:val="cs-CZ"/>
        </w:rPr>
      </w:pPr>
    </w:p>
    <w:tbl>
      <w:tblPr>
        <w:tblStyle w:val="Mkatabulky"/>
        <w:tblW w:w="0" w:type="auto"/>
        <w:tblLook w:val="04A0" w:firstRow="1" w:lastRow="0" w:firstColumn="1" w:lastColumn="0" w:noHBand="0" w:noVBand="1"/>
      </w:tblPr>
      <w:tblGrid>
        <w:gridCol w:w="9209"/>
      </w:tblGrid>
      <w:tr w:rsidR="00D862D3" w14:paraId="1F2243E1" w14:textId="77777777" w:rsidTr="00892563">
        <w:tc>
          <w:tcPr>
            <w:tcW w:w="9209" w:type="dxa"/>
          </w:tcPr>
          <w:p w14:paraId="5F52C9CC" w14:textId="77777777" w:rsidR="00D862D3" w:rsidRDefault="00D862D3" w:rsidP="00892563">
            <w:pPr>
              <w:jc w:val="both"/>
              <w:rPr>
                <w:rFonts w:cstheme="minorHAnsi"/>
                <w:b/>
              </w:rPr>
            </w:pPr>
            <w:r>
              <w:rPr>
                <w:rFonts w:cstheme="minorHAnsi"/>
                <w:b/>
              </w:rPr>
              <w:t>S</w:t>
            </w:r>
            <w:r w:rsidRPr="005973EB">
              <w:rPr>
                <w:rFonts w:cstheme="minorHAnsi"/>
                <w:b/>
              </w:rPr>
              <w:t>ebehodnocení:</w:t>
            </w:r>
          </w:p>
          <w:p w14:paraId="06147260" w14:textId="77777777" w:rsidR="00D862D3" w:rsidRDefault="00D862D3" w:rsidP="00892563">
            <w:pPr>
              <w:jc w:val="both"/>
              <w:rPr>
                <w:rFonts w:cstheme="minorHAnsi"/>
                <w:b/>
              </w:rPr>
            </w:pPr>
          </w:p>
          <w:p w14:paraId="5974897E" w14:textId="77777777" w:rsidR="00D862D3" w:rsidRDefault="00D862D3" w:rsidP="00892563">
            <w:pPr>
              <w:jc w:val="both"/>
              <w:rPr>
                <w:rFonts w:cstheme="minorHAnsi"/>
                <w:b/>
              </w:rPr>
            </w:pPr>
          </w:p>
          <w:p w14:paraId="66CB7E96" w14:textId="77777777" w:rsidR="00D862D3" w:rsidRDefault="00D862D3" w:rsidP="00892563">
            <w:pPr>
              <w:jc w:val="both"/>
              <w:rPr>
                <w:rFonts w:cstheme="minorHAnsi"/>
                <w:b/>
              </w:rPr>
            </w:pPr>
          </w:p>
          <w:p w14:paraId="27C43C33" w14:textId="77777777" w:rsidR="00D862D3" w:rsidRDefault="00D862D3" w:rsidP="00892563">
            <w:pPr>
              <w:jc w:val="both"/>
              <w:rPr>
                <w:rFonts w:cstheme="minorHAnsi"/>
                <w:b/>
              </w:rPr>
            </w:pPr>
          </w:p>
          <w:p w14:paraId="2E464619" w14:textId="77777777" w:rsidR="00D862D3" w:rsidRDefault="00D862D3" w:rsidP="00892563">
            <w:pPr>
              <w:jc w:val="both"/>
              <w:rPr>
                <w:rFonts w:cstheme="minorHAnsi"/>
                <w:b/>
              </w:rPr>
            </w:pPr>
          </w:p>
          <w:p w14:paraId="58FBF131" w14:textId="77777777" w:rsidR="00D862D3" w:rsidRPr="005973EB" w:rsidRDefault="00D862D3" w:rsidP="00892563">
            <w:pPr>
              <w:jc w:val="both"/>
              <w:rPr>
                <w:rFonts w:cstheme="minorHAnsi"/>
                <w:b/>
              </w:rPr>
            </w:pPr>
          </w:p>
          <w:p w14:paraId="5460C2E9" w14:textId="77777777" w:rsidR="00D862D3" w:rsidRDefault="00D862D3" w:rsidP="00892563">
            <w:pPr>
              <w:jc w:val="both"/>
              <w:rPr>
                <w:rFonts w:cstheme="minorHAnsi"/>
                <w:b/>
              </w:rPr>
            </w:pPr>
          </w:p>
        </w:tc>
      </w:tr>
    </w:tbl>
    <w:p w14:paraId="0092E369" w14:textId="77777777" w:rsidR="00D862D3" w:rsidRDefault="00D862D3" w:rsidP="00D862D3">
      <w:pPr>
        <w:rPr>
          <w:rFonts w:cstheme="minorHAnsi"/>
          <w:b/>
          <w:lang w:val="cs-CZ"/>
        </w:rPr>
      </w:pPr>
    </w:p>
    <w:p w14:paraId="1E2AF05D" w14:textId="77777777" w:rsidR="00D862D3" w:rsidRPr="0097716B" w:rsidRDefault="00D862D3" w:rsidP="00D862D3">
      <w:pPr>
        <w:jc w:val="both"/>
        <w:rPr>
          <w:rFonts w:cstheme="minorHAnsi"/>
          <w:b/>
          <w:sz w:val="22"/>
          <w:szCs w:val="22"/>
          <w:lang w:val="cs-CZ"/>
        </w:rPr>
      </w:pPr>
      <w:r w:rsidRPr="0097716B">
        <w:rPr>
          <w:rFonts w:cstheme="minorHAnsi"/>
          <w:b/>
          <w:sz w:val="22"/>
          <w:szCs w:val="22"/>
          <w:lang w:val="cs-CZ"/>
        </w:rPr>
        <w:t>Odkazy v HTML na podpůrné dokumenty:</w:t>
      </w:r>
    </w:p>
    <w:p w14:paraId="00DF7190" w14:textId="77777777" w:rsidR="005E0A69" w:rsidRDefault="005E0A69" w:rsidP="005E0A69">
      <w:pPr>
        <w:jc w:val="both"/>
        <w:rPr>
          <w:rFonts w:cstheme="minorHAnsi"/>
          <w:b/>
          <w:sz w:val="20"/>
          <w:szCs w:val="20"/>
          <w:lang w:val="cs-CZ"/>
        </w:rPr>
      </w:pPr>
    </w:p>
    <w:p w14:paraId="37F7C8E3" w14:textId="4419A805" w:rsidR="00DD6DC8" w:rsidRDefault="00DD6DC8">
      <w:pPr>
        <w:rPr>
          <w:b/>
          <w:lang w:val="cs-CZ"/>
        </w:rPr>
      </w:pPr>
    </w:p>
    <w:p w14:paraId="6090A172" w14:textId="77777777" w:rsidR="00AE1878" w:rsidRDefault="00AE1878">
      <w:pPr>
        <w:rPr>
          <w:b/>
          <w:lang w:val="cs-CZ"/>
        </w:rPr>
      </w:pPr>
    </w:p>
    <w:p w14:paraId="194E6B26" w14:textId="77777777" w:rsidR="00826B63" w:rsidRDefault="00826B63" w:rsidP="005E0A69">
      <w:pPr>
        <w:jc w:val="both"/>
        <w:rPr>
          <w:b/>
          <w:lang w:val="cs-CZ"/>
        </w:rPr>
      </w:pPr>
    </w:p>
    <w:tbl>
      <w:tblPr>
        <w:tblStyle w:val="Mkatabulky"/>
        <w:tblW w:w="9209" w:type="dxa"/>
        <w:tblLook w:val="04A0" w:firstRow="1" w:lastRow="0" w:firstColumn="1" w:lastColumn="0" w:noHBand="0" w:noVBand="1"/>
      </w:tblPr>
      <w:tblGrid>
        <w:gridCol w:w="9209"/>
      </w:tblGrid>
      <w:tr w:rsidR="005E0A69" w14:paraId="536E2539" w14:textId="77777777" w:rsidTr="00686516">
        <w:tc>
          <w:tcPr>
            <w:tcW w:w="9209" w:type="dxa"/>
          </w:tcPr>
          <w:p w14:paraId="3F08CFFD" w14:textId="77777777" w:rsidR="005E0A69" w:rsidRPr="00375A49" w:rsidRDefault="005E0A69" w:rsidP="00DD73FF">
            <w:pPr>
              <w:shd w:val="clear" w:color="auto" w:fill="90BDC5"/>
              <w:jc w:val="both"/>
              <w:rPr>
                <w:b/>
              </w:rPr>
            </w:pPr>
            <w:r w:rsidRPr="00375A49">
              <w:rPr>
                <w:b/>
              </w:rPr>
              <w:t xml:space="preserve">4.23 Externí poradní orgány pro </w:t>
            </w:r>
            <w:r>
              <w:rPr>
                <w:b/>
              </w:rPr>
              <w:t>VaVaI, nezávislá zpětná vazba pro VaVaI</w:t>
            </w:r>
            <w:r w:rsidRPr="00375A49">
              <w:rPr>
                <w:b/>
              </w:rPr>
              <w:t xml:space="preserve"> </w:t>
            </w:r>
          </w:p>
          <w:p w14:paraId="36576FF0" w14:textId="48006DDD" w:rsidR="005E0A69" w:rsidRPr="00DE4CF4" w:rsidRDefault="00DE4CF4" w:rsidP="005E0A69">
            <w:pPr>
              <w:jc w:val="both"/>
              <w:rPr>
                <w:i/>
              </w:rPr>
            </w:pPr>
            <w:r w:rsidRPr="00DE4CF4">
              <w:rPr>
                <w:color w:val="808080" w:themeColor="background1" w:themeShade="80"/>
              </w:rPr>
              <w:t>Vysoká škola stručně popíše svůj externí poradní orgán pro VaVaI, např. mezinárodní vědeckou radu (pokud existuje).</w:t>
            </w:r>
          </w:p>
        </w:tc>
      </w:tr>
    </w:tbl>
    <w:p w14:paraId="7053E29F" w14:textId="77777777" w:rsidR="00D862D3" w:rsidRPr="005973EB" w:rsidRDefault="00D862D3" w:rsidP="00D862D3">
      <w:pPr>
        <w:jc w:val="both"/>
        <w:rPr>
          <w:rFonts w:cstheme="minorHAnsi"/>
          <w:b/>
          <w:sz w:val="20"/>
          <w:szCs w:val="20"/>
          <w:lang w:val="cs-CZ"/>
        </w:rPr>
      </w:pPr>
    </w:p>
    <w:tbl>
      <w:tblPr>
        <w:tblStyle w:val="Mkatabulky"/>
        <w:tblW w:w="0" w:type="auto"/>
        <w:tblLook w:val="04A0" w:firstRow="1" w:lastRow="0" w:firstColumn="1" w:lastColumn="0" w:noHBand="0" w:noVBand="1"/>
      </w:tblPr>
      <w:tblGrid>
        <w:gridCol w:w="9209"/>
      </w:tblGrid>
      <w:tr w:rsidR="00D862D3" w14:paraId="40EB4F34" w14:textId="77777777" w:rsidTr="00892563">
        <w:tc>
          <w:tcPr>
            <w:tcW w:w="9209" w:type="dxa"/>
          </w:tcPr>
          <w:p w14:paraId="5D29D400" w14:textId="77777777" w:rsidR="00D862D3" w:rsidRDefault="00D862D3" w:rsidP="00892563">
            <w:pPr>
              <w:jc w:val="both"/>
              <w:rPr>
                <w:rFonts w:cstheme="minorHAnsi"/>
                <w:b/>
              </w:rPr>
            </w:pPr>
            <w:r>
              <w:rPr>
                <w:rFonts w:cstheme="minorHAnsi"/>
                <w:b/>
              </w:rPr>
              <w:t>S</w:t>
            </w:r>
            <w:r w:rsidRPr="005973EB">
              <w:rPr>
                <w:rFonts w:cstheme="minorHAnsi"/>
                <w:b/>
              </w:rPr>
              <w:t>ebehodnocení:</w:t>
            </w:r>
          </w:p>
          <w:p w14:paraId="28B6EB54" w14:textId="77777777" w:rsidR="00D862D3" w:rsidRDefault="00D862D3" w:rsidP="00892563">
            <w:pPr>
              <w:jc w:val="both"/>
              <w:rPr>
                <w:rFonts w:cstheme="minorHAnsi"/>
                <w:b/>
              </w:rPr>
            </w:pPr>
          </w:p>
          <w:p w14:paraId="0C6EBB81" w14:textId="77777777" w:rsidR="00D862D3" w:rsidRDefault="00D862D3" w:rsidP="00892563">
            <w:pPr>
              <w:jc w:val="both"/>
              <w:rPr>
                <w:rFonts w:cstheme="minorHAnsi"/>
                <w:b/>
              </w:rPr>
            </w:pPr>
          </w:p>
          <w:p w14:paraId="0F1BEA01" w14:textId="77777777" w:rsidR="00D862D3" w:rsidRDefault="00D862D3" w:rsidP="00892563">
            <w:pPr>
              <w:jc w:val="both"/>
              <w:rPr>
                <w:rFonts w:cstheme="minorHAnsi"/>
                <w:b/>
              </w:rPr>
            </w:pPr>
          </w:p>
          <w:p w14:paraId="3CECED4C" w14:textId="77777777" w:rsidR="00D862D3" w:rsidRDefault="00D862D3" w:rsidP="00892563">
            <w:pPr>
              <w:jc w:val="both"/>
              <w:rPr>
                <w:rFonts w:cstheme="minorHAnsi"/>
                <w:b/>
              </w:rPr>
            </w:pPr>
          </w:p>
          <w:p w14:paraId="68585AA4" w14:textId="77777777" w:rsidR="00D862D3" w:rsidRDefault="00D862D3" w:rsidP="00892563">
            <w:pPr>
              <w:jc w:val="both"/>
              <w:rPr>
                <w:rFonts w:cstheme="minorHAnsi"/>
                <w:b/>
              </w:rPr>
            </w:pPr>
          </w:p>
          <w:p w14:paraId="209A4436" w14:textId="77777777" w:rsidR="00D862D3" w:rsidRPr="005973EB" w:rsidRDefault="00D862D3" w:rsidP="00892563">
            <w:pPr>
              <w:jc w:val="both"/>
              <w:rPr>
                <w:rFonts w:cstheme="minorHAnsi"/>
                <w:b/>
              </w:rPr>
            </w:pPr>
          </w:p>
          <w:p w14:paraId="59377E0B" w14:textId="77777777" w:rsidR="00D862D3" w:rsidRDefault="00D862D3" w:rsidP="00892563">
            <w:pPr>
              <w:jc w:val="both"/>
              <w:rPr>
                <w:rFonts w:cstheme="minorHAnsi"/>
                <w:b/>
              </w:rPr>
            </w:pPr>
          </w:p>
        </w:tc>
      </w:tr>
    </w:tbl>
    <w:p w14:paraId="1E4A4440" w14:textId="77777777" w:rsidR="00D862D3" w:rsidRDefault="00D862D3" w:rsidP="00D862D3">
      <w:pPr>
        <w:rPr>
          <w:rFonts w:cstheme="minorHAnsi"/>
          <w:b/>
          <w:lang w:val="cs-CZ"/>
        </w:rPr>
      </w:pPr>
    </w:p>
    <w:p w14:paraId="2229143B" w14:textId="77777777" w:rsidR="00D862D3" w:rsidRPr="0097716B" w:rsidRDefault="00D862D3" w:rsidP="00D862D3">
      <w:pPr>
        <w:jc w:val="both"/>
        <w:rPr>
          <w:rFonts w:cstheme="minorHAnsi"/>
          <w:b/>
          <w:sz w:val="22"/>
          <w:szCs w:val="22"/>
          <w:lang w:val="cs-CZ"/>
        </w:rPr>
      </w:pPr>
      <w:r w:rsidRPr="0097716B">
        <w:rPr>
          <w:rFonts w:cstheme="minorHAnsi"/>
          <w:b/>
          <w:sz w:val="22"/>
          <w:szCs w:val="22"/>
          <w:lang w:val="cs-CZ"/>
        </w:rPr>
        <w:t>Odkazy v HTML na podpůrné dokumenty:</w:t>
      </w:r>
    </w:p>
    <w:p w14:paraId="44863C86" w14:textId="77777777" w:rsidR="00826B63" w:rsidRDefault="00826B63" w:rsidP="00826B63">
      <w:pPr>
        <w:jc w:val="both"/>
        <w:rPr>
          <w:rFonts w:cstheme="minorHAnsi"/>
          <w:b/>
          <w:sz w:val="22"/>
          <w:szCs w:val="22"/>
          <w:lang w:val="cs-CZ"/>
        </w:rPr>
      </w:pPr>
    </w:p>
    <w:p w14:paraId="0AE19C75" w14:textId="77777777" w:rsidR="001F33B6" w:rsidRDefault="001F33B6" w:rsidP="00826B63">
      <w:pPr>
        <w:jc w:val="both"/>
        <w:rPr>
          <w:rFonts w:cstheme="minorHAnsi"/>
          <w:b/>
          <w:sz w:val="22"/>
          <w:szCs w:val="22"/>
          <w:lang w:val="cs-CZ"/>
        </w:rPr>
      </w:pPr>
    </w:p>
    <w:p w14:paraId="1B8EFC0F" w14:textId="77777777" w:rsidR="00AE1878" w:rsidRDefault="00AE1878" w:rsidP="00826B63">
      <w:pPr>
        <w:jc w:val="both"/>
        <w:rPr>
          <w:rFonts w:cstheme="minorHAnsi"/>
          <w:b/>
          <w:sz w:val="22"/>
          <w:szCs w:val="22"/>
          <w:lang w:val="cs-CZ"/>
        </w:rPr>
      </w:pPr>
    </w:p>
    <w:p w14:paraId="50E912A1" w14:textId="77777777" w:rsidR="00DE4AB9" w:rsidRDefault="00DE4AB9" w:rsidP="00826B63">
      <w:pPr>
        <w:jc w:val="both"/>
        <w:rPr>
          <w:rFonts w:cstheme="minorHAnsi"/>
          <w:b/>
          <w:sz w:val="22"/>
          <w:szCs w:val="22"/>
          <w:lang w:val="cs-CZ"/>
        </w:rPr>
      </w:pPr>
    </w:p>
    <w:p w14:paraId="187C7BCA" w14:textId="77777777" w:rsidR="00DE4AB9" w:rsidRDefault="00DE4AB9" w:rsidP="00826B63">
      <w:pPr>
        <w:jc w:val="both"/>
        <w:rPr>
          <w:rFonts w:cstheme="minorHAnsi"/>
          <w:b/>
          <w:sz w:val="22"/>
          <w:szCs w:val="22"/>
          <w:lang w:val="cs-CZ"/>
        </w:rPr>
      </w:pPr>
    </w:p>
    <w:p w14:paraId="7AA5AAED" w14:textId="77777777" w:rsidR="00DE4AB9" w:rsidRDefault="00DE4AB9" w:rsidP="00826B63">
      <w:pPr>
        <w:jc w:val="both"/>
        <w:rPr>
          <w:rFonts w:cstheme="minorHAnsi"/>
          <w:b/>
          <w:sz w:val="22"/>
          <w:szCs w:val="22"/>
          <w:lang w:val="cs-CZ"/>
        </w:rPr>
      </w:pPr>
    </w:p>
    <w:p w14:paraId="409B4F4B" w14:textId="77777777" w:rsidR="00DE4AB9" w:rsidRDefault="00DE4AB9" w:rsidP="00826B63">
      <w:pPr>
        <w:jc w:val="both"/>
        <w:rPr>
          <w:rFonts w:cstheme="minorHAnsi"/>
          <w:b/>
          <w:sz w:val="22"/>
          <w:szCs w:val="22"/>
          <w:lang w:val="cs-CZ"/>
        </w:rPr>
      </w:pPr>
    </w:p>
    <w:p w14:paraId="213DBA34" w14:textId="77777777" w:rsidR="00DE4AB9" w:rsidRDefault="00DE4AB9" w:rsidP="00826B63">
      <w:pPr>
        <w:jc w:val="both"/>
        <w:rPr>
          <w:rFonts w:cstheme="minorHAnsi"/>
          <w:b/>
          <w:sz w:val="22"/>
          <w:szCs w:val="22"/>
          <w:lang w:val="cs-CZ"/>
        </w:rPr>
      </w:pPr>
    </w:p>
    <w:p w14:paraId="581D1B14" w14:textId="77777777" w:rsidR="00DE4AB9" w:rsidRDefault="00DE4AB9" w:rsidP="00826B63">
      <w:pPr>
        <w:jc w:val="both"/>
        <w:rPr>
          <w:rFonts w:cstheme="minorHAnsi"/>
          <w:b/>
          <w:sz w:val="22"/>
          <w:szCs w:val="22"/>
          <w:lang w:val="cs-CZ"/>
        </w:rPr>
      </w:pPr>
    </w:p>
    <w:p w14:paraId="6FA4C553" w14:textId="77777777" w:rsidR="00DE4AB9" w:rsidRDefault="00DE4AB9" w:rsidP="00826B63">
      <w:pPr>
        <w:jc w:val="both"/>
        <w:rPr>
          <w:rFonts w:cstheme="minorHAnsi"/>
          <w:b/>
          <w:sz w:val="22"/>
          <w:szCs w:val="22"/>
          <w:lang w:val="cs-CZ"/>
        </w:rPr>
      </w:pPr>
    </w:p>
    <w:p w14:paraId="1F32F30C" w14:textId="77777777" w:rsidR="00DE4AB9" w:rsidRDefault="00DE4AB9" w:rsidP="00826B63">
      <w:pPr>
        <w:jc w:val="both"/>
        <w:rPr>
          <w:rFonts w:cstheme="minorHAnsi"/>
          <w:b/>
          <w:sz w:val="22"/>
          <w:szCs w:val="22"/>
          <w:lang w:val="cs-CZ"/>
        </w:rPr>
      </w:pPr>
    </w:p>
    <w:p w14:paraId="7C6BAE8D" w14:textId="77FA6E00" w:rsidR="005E0A69" w:rsidRPr="009D0004" w:rsidRDefault="005E0A69" w:rsidP="009D0004">
      <w:pPr>
        <w:pStyle w:val="Nadpis3"/>
        <w:rPr>
          <w:rFonts w:cstheme="minorHAnsi"/>
          <w:lang w:val="cs-CZ"/>
        </w:rPr>
      </w:pPr>
      <w:bookmarkStart w:id="18" w:name="_Toc13829028"/>
      <w:r w:rsidRPr="005E0A69">
        <w:rPr>
          <w:lang w:val="cs-CZ"/>
        </w:rPr>
        <w:lastRenderedPageBreak/>
        <w:t>VÝZKUMNÁ INFRASTRUKTURA</w:t>
      </w:r>
      <w:bookmarkEnd w:id="18"/>
    </w:p>
    <w:p w14:paraId="63F05637" w14:textId="77777777" w:rsidR="005E0A69" w:rsidRDefault="005E0A69" w:rsidP="005E0A69">
      <w:pPr>
        <w:jc w:val="both"/>
        <w:rPr>
          <w:b/>
          <w:lang w:val="cs-CZ"/>
        </w:rPr>
      </w:pPr>
    </w:p>
    <w:tbl>
      <w:tblPr>
        <w:tblStyle w:val="Mkatabulky"/>
        <w:tblW w:w="9209" w:type="dxa"/>
        <w:tblLook w:val="04A0" w:firstRow="1" w:lastRow="0" w:firstColumn="1" w:lastColumn="0" w:noHBand="0" w:noVBand="1"/>
      </w:tblPr>
      <w:tblGrid>
        <w:gridCol w:w="9209"/>
      </w:tblGrid>
      <w:tr w:rsidR="005E0A69" w14:paraId="74B48B4C" w14:textId="77777777" w:rsidTr="00C153F2">
        <w:tc>
          <w:tcPr>
            <w:tcW w:w="9209" w:type="dxa"/>
          </w:tcPr>
          <w:p w14:paraId="20DEB829" w14:textId="77777777" w:rsidR="005E0A69" w:rsidRPr="00375A49" w:rsidRDefault="005E0A69" w:rsidP="00DD73FF">
            <w:pPr>
              <w:shd w:val="clear" w:color="auto" w:fill="90BDC5"/>
              <w:jc w:val="both"/>
              <w:rPr>
                <w:b/>
              </w:rPr>
            </w:pPr>
            <w:r w:rsidRPr="00375A49">
              <w:rPr>
                <w:b/>
              </w:rPr>
              <w:t xml:space="preserve">4.24 Systém pořizování a obnovy přístrojů a vybavení pro </w:t>
            </w:r>
            <w:r>
              <w:rPr>
                <w:b/>
              </w:rPr>
              <w:t>VaVaI</w:t>
            </w:r>
            <w:r w:rsidRPr="00375A49">
              <w:rPr>
                <w:b/>
              </w:rPr>
              <w:t xml:space="preserve"> </w:t>
            </w:r>
          </w:p>
          <w:p w14:paraId="27E0C364" w14:textId="2C8CE4C2" w:rsidR="0024203F" w:rsidRPr="00DE4CF4" w:rsidRDefault="00DE4CF4" w:rsidP="00DE4CF4">
            <w:pPr>
              <w:jc w:val="both"/>
              <w:rPr>
                <w:i/>
              </w:rPr>
            </w:pPr>
            <w:r w:rsidRPr="00DE4CF4">
              <w:rPr>
                <w:color w:val="808080" w:themeColor="background1" w:themeShade="80"/>
              </w:rPr>
              <w:t>Vysoká škola popíše systém pořizování / optimalizace pořizování nákladných přístrojů a zařízení a obnovu dosluhujících nákladných přístrojů. Stručně okomentuje údaje z přílohy (tab. 4.24.1).</w:t>
            </w:r>
          </w:p>
        </w:tc>
      </w:tr>
    </w:tbl>
    <w:p w14:paraId="5F644D0C" w14:textId="77777777" w:rsidR="00AE1878" w:rsidRPr="005973EB" w:rsidRDefault="00AE1878" w:rsidP="00D862D3">
      <w:pPr>
        <w:jc w:val="both"/>
        <w:rPr>
          <w:rFonts w:cstheme="minorHAnsi"/>
          <w:b/>
          <w:sz w:val="20"/>
          <w:szCs w:val="20"/>
          <w:lang w:val="cs-CZ"/>
        </w:rPr>
      </w:pPr>
    </w:p>
    <w:tbl>
      <w:tblPr>
        <w:tblStyle w:val="Mkatabulky"/>
        <w:tblW w:w="0" w:type="auto"/>
        <w:tblLook w:val="04A0" w:firstRow="1" w:lastRow="0" w:firstColumn="1" w:lastColumn="0" w:noHBand="0" w:noVBand="1"/>
      </w:tblPr>
      <w:tblGrid>
        <w:gridCol w:w="9209"/>
      </w:tblGrid>
      <w:tr w:rsidR="00D862D3" w14:paraId="703F1BE3" w14:textId="77777777" w:rsidTr="00892563">
        <w:tc>
          <w:tcPr>
            <w:tcW w:w="9209" w:type="dxa"/>
          </w:tcPr>
          <w:p w14:paraId="3BCA9589" w14:textId="77777777" w:rsidR="00D862D3" w:rsidRDefault="00D862D3" w:rsidP="00892563">
            <w:pPr>
              <w:jc w:val="both"/>
              <w:rPr>
                <w:rFonts w:cstheme="minorHAnsi"/>
                <w:b/>
              </w:rPr>
            </w:pPr>
            <w:r>
              <w:rPr>
                <w:rFonts w:cstheme="minorHAnsi"/>
                <w:b/>
              </w:rPr>
              <w:t>S</w:t>
            </w:r>
            <w:r w:rsidRPr="005973EB">
              <w:rPr>
                <w:rFonts w:cstheme="minorHAnsi"/>
                <w:b/>
              </w:rPr>
              <w:t>ebehodnocení:</w:t>
            </w:r>
          </w:p>
          <w:p w14:paraId="65D76F6D" w14:textId="77777777" w:rsidR="00D862D3" w:rsidRDefault="00D862D3" w:rsidP="00892563">
            <w:pPr>
              <w:jc w:val="both"/>
              <w:rPr>
                <w:rFonts w:cstheme="minorHAnsi"/>
                <w:b/>
              </w:rPr>
            </w:pPr>
          </w:p>
          <w:p w14:paraId="14DA8D74" w14:textId="77777777" w:rsidR="00D862D3" w:rsidRDefault="00D862D3" w:rsidP="00892563">
            <w:pPr>
              <w:jc w:val="both"/>
              <w:rPr>
                <w:rFonts w:cstheme="minorHAnsi"/>
                <w:b/>
              </w:rPr>
            </w:pPr>
          </w:p>
          <w:p w14:paraId="1F71615A" w14:textId="77777777" w:rsidR="00D862D3" w:rsidRDefault="00D862D3" w:rsidP="00892563">
            <w:pPr>
              <w:jc w:val="both"/>
              <w:rPr>
                <w:rFonts w:cstheme="minorHAnsi"/>
                <w:b/>
              </w:rPr>
            </w:pPr>
          </w:p>
          <w:p w14:paraId="5BB074BD" w14:textId="77777777" w:rsidR="00D862D3" w:rsidRDefault="00D862D3" w:rsidP="00892563">
            <w:pPr>
              <w:jc w:val="both"/>
              <w:rPr>
                <w:rFonts w:cstheme="minorHAnsi"/>
                <w:b/>
              </w:rPr>
            </w:pPr>
          </w:p>
          <w:p w14:paraId="1B7B5599" w14:textId="77777777" w:rsidR="00D862D3" w:rsidRDefault="00D862D3" w:rsidP="00892563">
            <w:pPr>
              <w:jc w:val="both"/>
              <w:rPr>
                <w:rFonts w:cstheme="minorHAnsi"/>
                <w:b/>
              </w:rPr>
            </w:pPr>
          </w:p>
          <w:p w14:paraId="658F8760" w14:textId="77777777" w:rsidR="00D862D3" w:rsidRPr="005973EB" w:rsidRDefault="00D862D3" w:rsidP="00892563">
            <w:pPr>
              <w:jc w:val="both"/>
              <w:rPr>
                <w:rFonts w:cstheme="minorHAnsi"/>
                <w:b/>
              </w:rPr>
            </w:pPr>
          </w:p>
          <w:p w14:paraId="4E4961F0" w14:textId="77777777" w:rsidR="00D862D3" w:rsidRDefault="00D862D3" w:rsidP="00892563">
            <w:pPr>
              <w:jc w:val="both"/>
              <w:rPr>
                <w:rFonts w:cstheme="minorHAnsi"/>
                <w:b/>
              </w:rPr>
            </w:pPr>
          </w:p>
        </w:tc>
      </w:tr>
    </w:tbl>
    <w:p w14:paraId="401DBC4A" w14:textId="77777777" w:rsidR="00D862D3" w:rsidRDefault="00D862D3" w:rsidP="00D862D3">
      <w:pPr>
        <w:rPr>
          <w:rFonts w:cstheme="minorHAnsi"/>
          <w:b/>
          <w:lang w:val="cs-CZ"/>
        </w:rPr>
      </w:pPr>
    </w:p>
    <w:p w14:paraId="2D5D36E4" w14:textId="77777777" w:rsidR="00AE1878" w:rsidRDefault="00D862D3" w:rsidP="00AE1878">
      <w:pPr>
        <w:jc w:val="both"/>
        <w:rPr>
          <w:rFonts w:cstheme="minorHAnsi"/>
          <w:b/>
          <w:sz w:val="22"/>
          <w:szCs w:val="22"/>
          <w:lang w:val="cs-CZ"/>
        </w:rPr>
      </w:pPr>
      <w:r w:rsidRPr="0097716B">
        <w:rPr>
          <w:rFonts w:cstheme="minorHAnsi"/>
          <w:b/>
          <w:sz w:val="22"/>
          <w:szCs w:val="22"/>
          <w:lang w:val="cs-CZ"/>
        </w:rPr>
        <w:t>Odkazy v HTML na podpůrné dokumenty:</w:t>
      </w:r>
    </w:p>
    <w:p w14:paraId="2AEF5930" w14:textId="77777777" w:rsidR="00AE1878" w:rsidRDefault="00AE1878" w:rsidP="00AE1878">
      <w:pPr>
        <w:jc w:val="both"/>
        <w:rPr>
          <w:rFonts w:cstheme="minorHAnsi"/>
          <w:b/>
          <w:sz w:val="22"/>
          <w:szCs w:val="22"/>
          <w:lang w:val="cs-CZ"/>
        </w:rPr>
      </w:pPr>
    </w:p>
    <w:p w14:paraId="79893C19" w14:textId="77777777" w:rsidR="00AE1878" w:rsidRDefault="00AE1878" w:rsidP="00AE1878">
      <w:pPr>
        <w:jc w:val="both"/>
        <w:rPr>
          <w:rFonts w:cstheme="minorHAnsi"/>
          <w:b/>
          <w:sz w:val="22"/>
          <w:szCs w:val="22"/>
          <w:lang w:val="cs-CZ"/>
        </w:rPr>
      </w:pPr>
    </w:p>
    <w:p w14:paraId="3B3D5497" w14:textId="77777777" w:rsidR="00AE1878" w:rsidRDefault="00AE1878" w:rsidP="00AE1878">
      <w:pPr>
        <w:jc w:val="both"/>
        <w:rPr>
          <w:rFonts w:cstheme="minorHAnsi"/>
          <w:b/>
          <w:sz w:val="22"/>
          <w:szCs w:val="22"/>
          <w:lang w:val="cs-CZ"/>
        </w:rPr>
      </w:pPr>
    </w:p>
    <w:p w14:paraId="20D37555" w14:textId="77777777" w:rsidR="00AE1878" w:rsidRDefault="00AE1878" w:rsidP="00AE1878">
      <w:pPr>
        <w:jc w:val="both"/>
        <w:rPr>
          <w:rFonts w:cstheme="minorHAnsi"/>
          <w:b/>
          <w:sz w:val="22"/>
          <w:szCs w:val="22"/>
          <w:lang w:val="cs-CZ"/>
        </w:rPr>
      </w:pPr>
    </w:p>
    <w:tbl>
      <w:tblPr>
        <w:tblStyle w:val="Mkatabulky"/>
        <w:tblW w:w="9209" w:type="dxa"/>
        <w:tblLook w:val="04A0" w:firstRow="1" w:lastRow="0" w:firstColumn="1" w:lastColumn="0" w:noHBand="0" w:noVBand="1"/>
      </w:tblPr>
      <w:tblGrid>
        <w:gridCol w:w="9209"/>
      </w:tblGrid>
      <w:tr w:rsidR="00AE1878" w:rsidRPr="00DE4CF4" w14:paraId="1D9BB55C" w14:textId="77777777" w:rsidTr="000E332E">
        <w:tc>
          <w:tcPr>
            <w:tcW w:w="9209" w:type="dxa"/>
          </w:tcPr>
          <w:p w14:paraId="3AE2E9A4" w14:textId="77777777" w:rsidR="00AE1878" w:rsidRPr="00375A49" w:rsidRDefault="00AE1878" w:rsidP="000E332E">
            <w:pPr>
              <w:shd w:val="clear" w:color="auto" w:fill="90BDC5"/>
              <w:jc w:val="both"/>
              <w:rPr>
                <w:b/>
              </w:rPr>
            </w:pPr>
            <w:r w:rsidRPr="00375A49">
              <w:rPr>
                <w:b/>
              </w:rPr>
              <w:t xml:space="preserve">4.25 Systém sdílení přístrojů a vybavení pro </w:t>
            </w:r>
            <w:r>
              <w:rPr>
                <w:b/>
              </w:rPr>
              <w:t>VaVaI</w:t>
            </w:r>
          </w:p>
          <w:p w14:paraId="2E2A08AE" w14:textId="77777777" w:rsidR="00AE1878" w:rsidRPr="00DE4CF4" w:rsidRDefault="00AE1878" w:rsidP="000E332E">
            <w:pPr>
              <w:jc w:val="both"/>
              <w:rPr>
                <w:i/>
              </w:rPr>
            </w:pPr>
            <w:r w:rsidRPr="00DE4CF4">
              <w:rPr>
                <w:color w:val="808080" w:themeColor="background1" w:themeShade="80"/>
              </w:rPr>
              <w:t>Vysoká škola stručně představí interní organizaci výzkumné infrastruktury (technologie, nákladné přístroje nebo přístrojové celky). Popíše systém sdílení (vč. externích výzkumných subjektů) nákladných přístrojů a přístrojových celků, tzv. „</w:t>
            </w:r>
            <w:proofErr w:type="spellStart"/>
            <w:r w:rsidRPr="00DE4CF4">
              <w:rPr>
                <w:color w:val="808080" w:themeColor="background1" w:themeShade="80"/>
              </w:rPr>
              <w:t>core</w:t>
            </w:r>
            <w:proofErr w:type="spellEnd"/>
            <w:r w:rsidRPr="00DE4CF4">
              <w:rPr>
                <w:color w:val="808080" w:themeColor="background1" w:themeShade="80"/>
              </w:rPr>
              <w:t xml:space="preserve"> </w:t>
            </w:r>
            <w:proofErr w:type="spellStart"/>
            <w:r w:rsidRPr="00DE4CF4">
              <w:rPr>
                <w:color w:val="808080" w:themeColor="background1" w:themeShade="80"/>
              </w:rPr>
              <w:t>facilities</w:t>
            </w:r>
            <w:proofErr w:type="spellEnd"/>
            <w:r w:rsidRPr="00DE4CF4">
              <w:rPr>
                <w:color w:val="808080" w:themeColor="background1" w:themeShade="80"/>
              </w:rPr>
              <w:t>“ (pokud takový systém existuje) a sdílení přístrojů a přístrojových celků.</w:t>
            </w:r>
            <w:r w:rsidRPr="00375A49">
              <w:rPr>
                <w:i/>
              </w:rPr>
              <w:t xml:space="preserve"> </w:t>
            </w:r>
          </w:p>
        </w:tc>
      </w:tr>
    </w:tbl>
    <w:p w14:paraId="104BCF1F" w14:textId="6BA75BF7" w:rsidR="00D862D3" w:rsidRPr="00AE1878" w:rsidRDefault="00D862D3" w:rsidP="00D862D3">
      <w:pPr>
        <w:jc w:val="both"/>
        <w:rPr>
          <w:rFonts w:cstheme="minorHAnsi"/>
          <w:b/>
          <w:sz w:val="22"/>
          <w:szCs w:val="22"/>
          <w:lang w:val="cs-CZ"/>
        </w:rPr>
      </w:pPr>
    </w:p>
    <w:tbl>
      <w:tblPr>
        <w:tblStyle w:val="Mkatabulky"/>
        <w:tblW w:w="0" w:type="auto"/>
        <w:tblLook w:val="04A0" w:firstRow="1" w:lastRow="0" w:firstColumn="1" w:lastColumn="0" w:noHBand="0" w:noVBand="1"/>
      </w:tblPr>
      <w:tblGrid>
        <w:gridCol w:w="9209"/>
      </w:tblGrid>
      <w:tr w:rsidR="00D862D3" w14:paraId="6555AA16" w14:textId="77777777" w:rsidTr="00892563">
        <w:tc>
          <w:tcPr>
            <w:tcW w:w="9209" w:type="dxa"/>
          </w:tcPr>
          <w:p w14:paraId="4755A091" w14:textId="77777777" w:rsidR="00D862D3" w:rsidRDefault="00D862D3" w:rsidP="00892563">
            <w:pPr>
              <w:jc w:val="both"/>
              <w:rPr>
                <w:rFonts w:cstheme="minorHAnsi"/>
                <w:b/>
              </w:rPr>
            </w:pPr>
            <w:r>
              <w:rPr>
                <w:rFonts w:cstheme="minorHAnsi"/>
                <w:b/>
              </w:rPr>
              <w:t>S</w:t>
            </w:r>
            <w:r w:rsidRPr="005973EB">
              <w:rPr>
                <w:rFonts w:cstheme="minorHAnsi"/>
                <w:b/>
              </w:rPr>
              <w:t>ebehodnocení:</w:t>
            </w:r>
          </w:p>
          <w:p w14:paraId="3AFDBF61" w14:textId="77777777" w:rsidR="00D862D3" w:rsidRDefault="00D862D3" w:rsidP="00892563">
            <w:pPr>
              <w:jc w:val="both"/>
              <w:rPr>
                <w:rFonts w:cstheme="minorHAnsi"/>
                <w:b/>
              </w:rPr>
            </w:pPr>
          </w:p>
          <w:p w14:paraId="33A3CAE0" w14:textId="77777777" w:rsidR="00D862D3" w:rsidRDefault="00D862D3" w:rsidP="00892563">
            <w:pPr>
              <w:jc w:val="both"/>
              <w:rPr>
                <w:rFonts w:cstheme="minorHAnsi"/>
                <w:b/>
              </w:rPr>
            </w:pPr>
          </w:p>
          <w:p w14:paraId="2DAAB6A9" w14:textId="77777777" w:rsidR="00D862D3" w:rsidRDefault="00D862D3" w:rsidP="00892563">
            <w:pPr>
              <w:jc w:val="both"/>
              <w:rPr>
                <w:rFonts w:cstheme="minorHAnsi"/>
                <w:b/>
              </w:rPr>
            </w:pPr>
          </w:p>
          <w:p w14:paraId="092E4F95" w14:textId="77777777" w:rsidR="00D862D3" w:rsidRDefault="00D862D3" w:rsidP="00892563">
            <w:pPr>
              <w:jc w:val="both"/>
              <w:rPr>
                <w:rFonts w:cstheme="minorHAnsi"/>
                <w:b/>
              </w:rPr>
            </w:pPr>
          </w:p>
          <w:p w14:paraId="50AFC6F8" w14:textId="77777777" w:rsidR="00D862D3" w:rsidRDefault="00D862D3" w:rsidP="00892563">
            <w:pPr>
              <w:jc w:val="both"/>
              <w:rPr>
                <w:rFonts w:cstheme="minorHAnsi"/>
                <w:b/>
              </w:rPr>
            </w:pPr>
          </w:p>
          <w:p w14:paraId="0270E8A5" w14:textId="77777777" w:rsidR="00D862D3" w:rsidRPr="005973EB" w:rsidRDefault="00D862D3" w:rsidP="00892563">
            <w:pPr>
              <w:jc w:val="both"/>
              <w:rPr>
                <w:rFonts w:cstheme="minorHAnsi"/>
                <w:b/>
              </w:rPr>
            </w:pPr>
          </w:p>
          <w:p w14:paraId="4099BF88" w14:textId="77777777" w:rsidR="00D862D3" w:rsidRDefault="00D862D3" w:rsidP="00892563">
            <w:pPr>
              <w:jc w:val="both"/>
              <w:rPr>
                <w:rFonts w:cstheme="minorHAnsi"/>
                <w:b/>
              </w:rPr>
            </w:pPr>
          </w:p>
        </w:tc>
      </w:tr>
    </w:tbl>
    <w:p w14:paraId="226AEB21" w14:textId="77777777" w:rsidR="00D862D3" w:rsidRDefault="00D862D3" w:rsidP="00D862D3">
      <w:pPr>
        <w:rPr>
          <w:rFonts w:cstheme="minorHAnsi"/>
          <w:b/>
          <w:lang w:val="cs-CZ"/>
        </w:rPr>
      </w:pPr>
    </w:p>
    <w:p w14:paraId="7ACB225B" w14:textId="77777777" w:rsidR="00D862D3" w:rsidRDefault="00D862D3" w:rsidP="00D862D3">
      <w:pPr>
        <w:jc w:val="both"/>
        <w:rPr>
          <w:rFonts w:cstheme="minorHAnsi"/>
          <w:b/>
          <w:sz w:val="22"/>
          <w:szCs w:val="22"/>
          <w:lang w:val="cs-CZ"/>
        </w:rPr>
      </w:pPr>
      <w:r w:rsidRPr="0097716B">
        <w:rPr>
          <w:rFonts w:cstheme="minorHAnsi"/>
          <w:b/>
          <w:sz w:val="22"/>
          <w:szCs w:val="22"/>
          <w:lang w:val="cs-CZ"/>
        </w:rPr>
        <w:t>Odkazy v HTML na podpůrné dokumenty:</w:t>
      </w:r>
    </w:p>
    <w:p w14:paraId="0E80048D" w14:textId="77777777" w:rsidR="00AE1878" w:rsidRDefault="00AE1878" w:rsidP="00D862D3">
      <w:pPr>
        <w:jc w:val="both"/>
        <w:rPr>
          <w:rFonts w:cstheme="minorHAnsi"/>
          <w:b/>
          <w:sz w:val="22"/>
          <w:szCs w:val="22"/>
          <w:lang w:val="cs-CZ"/>
        </w:rPr>
      </w:pPr>
    </w:p>
    <w:p w14:paraId="2F71DBEF" w14:textId="77777777" w:rsidR="00895671" w:rsidRDefault="00895671" w:rsidP="00D862D3">
      <w:pPr>
        <w:jc w:val="both"/>
        <w:rPr>
          <w:rFonts w:cstheme="minorHAnsi"/>
          <w:b/>
          <w:sz w:val="22"/>
          <w:szCs w:val="22"/>
          <w:lang w:val="cs-CZ"/>
        </w:rPr>
      </w:pPr>
    </w:p>
    <w:p w14:paraId="3E0F2DAD" w14:textId="77777777" w:rsidR="00895671" w:rsidRDefault="00895671" w:rsidP="00D862D3">
      <w:pPr>
        <w:jc w:val="both"/>
        <w:rPr>
          <w:rFonts w:cstheme="minorHAnsi"/>
          <w:b/>
          <w:sz w:val="22"/>
          <w:szCs w:val="22"/>
          <w:lang w:val="cs-CZ"/>
        </w:rPr>
      </w:pPr>
    </w:p>
    <w:p w14:paraId="5CE25263" w14:textId="77777777" w:rsidR="00AE1878" w:rsidRDefault="00AE1878" w:rsidP="005E0A69">
      <w:pPr>
        <w:jc w:val="both"/>
        <w:rPr>
          <w:rFonts w:cstheme="minorHAnsi"/>
          <w:b/>
          <w:sz w:val="20"/>
          <w:szCs w:val="20"/>
          <w:lang w:val="cs-CZ"/>
        </w:rPr>
      </w:pPr>
    </w:p>
    <w:p w14:paraId="4B0793CF" w14:textId="3F44146E" w:rsidR="005E0A69" w:rsidRPr="009D0004" w:rsidRDefault="005E0A69" w:rsidP="009D0004">
      <w:pPr>
        <w:pStyle w:val="Nadpis3"/>
        <w:rPr>
          <w:rFonts w:cstheme="minorHAnsi"/>
          <w:lang w:val="cs-CZ"/>
        </w:rPr>
      </w:pPr>
      <w:bookmarkStart w:id="19" w:name="_Toc13829029"/>
      <w:r w:rsidRPr="005E0A69">
        <w:rPr>
          <w:lang w:val="cs-CZ"/>
        </w:rPr>
        <w:t>DOBRÁ PRAXE VE VAVAI</w:t>
      </w:r>
      <w:bookmarkEnd w:id="19"/>
    </w:p>
    <w:p w14:paraId="1C7673F5" w14:textId="77777777" w:rsidR="005E0A69" w:rsidRDefault="005E0A69" w:rsidP="005E0A69">
      <w:pPr>
        <w:jc w:val="both"/>
        <w:rPr>
          <w:b/>
          <w:lang w:val="cs-CZ"/>
        </w:rPr>
      </w:pPr>
    </w:p>
    <w:tbl>
      <w:tblPr>
        <w:tblStyle w:val="Mkatabulky"/>
        <w:tblW w:w="9209" w:type="dxa"/>
        <w:tblLook w:val="04A0" w:firstRow="1" w:lastRow="0" w:firstColumn="1" w:lastColumn="0" w:noHBand="0" w:noVBand="1"/>
      </w:tblPr>
      <w:tblGrid>
        <w:gridCol w:w="9209"/>
      </w:tblGrid>
      <w:tr w:rsidR="005E0A69" w14:paraId="0802D023" w14:textId="77777777" w:rsidTr="00686516">
        <w:tc>
          <w:tcPr>
            <w:tcW w:w="9209" w:type="dxa"/>
          </w:tcPr>
          <w:p w14:paraId="7F80A773" w14:textId="322422D3" w:rsidR="004B4DB3" w:rsidRDefault="004B4DB3" w:rsidP="00DD73FF">
            <w:pPr>
              <w:shd w:val="clear" w:color="auto" w:fill="90BDC5"/>
              <w:jc w:val="both"/>
            </w:pPr>
            <w:r w:rsidRPr="00375A49">
              <w:rPr>
                <w:b/>
              </w:rPr>
              <w:t>4.26 Vnitřní pravidla a opatřen</w:t>
            </w:r>
            <w:r>
              <w:rPr>
                <w:b/>
              </w:rPr>
              <w:t>í pro udržování dobré praxe ve VaVaI</w:t>
            </w:r>
            <w:r w:rsidRPr="00FC2AE5">
              <w:t xml:space="preserve"> </w:t>
            </w:r>
          </w:p>
          <w:p w14:paraId="7314C96F" w14:textId="05A4D7FF" w:rsidR="004B4DB3" w:rsidRPr="00375A49" w:rsidRDefault="004B4DB3" w:rsidP="00DD73FF">
            <w:pPr>
              <w:shd w:val="clear" w:color="auto" w:fill="90BDC5"/>
              <w:jc w:val="both"/>
              <w:rPr>
                <w:b/>
              </w:rPr>
            </w:pPr>
            <w:r w:rsidRPr="00FC2AE5">
              <w:t xml:space="preserve">(např. </w:t>
            </w:r>
            <w:proofErr w:type="spellStart"/>
            <w:r w:rsidRPr="00FC2AE5">
              <w:t>Code</w:t>
            </w:r>
            <w:proofErr w:type="spellEnd"/>
            <w:r w:rsidRPr="00FC2AE5">
              <w:t xml:space="preserve"> </w:t>
            </w:r>
            <w:proofErr w:type="spellStart"/>
            <w:r w:rsidRPr="00FC2AE5">
              <w:t>of</w:t>
            </w:r>
            <w:proofErr w:type="spellEnd"/>
            <w:r w:rsidRPr="00FC2AE5">
              <w:t xml:space="preserve"> </w:t>
            </w:r>
            <w:proofErr w:type="spellStart"/>
            <w:r w:rsidRPr="00FC2AE5">
              <w:t>Conduct</w:t>
            </w:r>
            <w:proofErr w:type="spellEnd"/>
            <w:r w:rsidRPr="00FC2AE5">
              <w:t xml:space="preserve"> </w:t>
            </w:r>
            <w:proofErr w:type="spellStart"/>
            <w:r w:rsidRPr="00FC2AE5">
              <w:t>for</w:t>
            </w:r>
            <w:proofErr w:type="spellEnd"/>
            <w:r w:rsidRPr="00FC2AE5">
              <w:t xml:space="preserve"> </w:t>
            </w:r>
            <w:proofErr w:type="spellStart"/>
            <w:r w:rsidRPr="00FC2AE5">
              <w:t>Research</w:t>
            </w:r>
            <w:proofErr w:type="spellEnd"/>
            <w:r w:rsidRPr="00FC2AE5">
              <w:t xml:space="preserve"> Integrity, </w:t>
            </w:r>
            <w:proofErr w:type="spellStart"/>
            <w:r w:rsidRPr="00FC2AE5">
              <w:t>Ethical</w:t>
            </w:r>
            <w:proofErr w:type="spellEnd"/>
            <w:r w:rsidRPr="00FC2AE5">
              <w:t xml:space="preserve"> </w:t>
            </w:r>
            <w:proofErr w:type="spellStart"/>
            <w:r w:rsidRPr="00FC2AE5">
              <w:t>Issues</w:t>
            </w:r>
            <w:proofErr w:type="spellEnd"/>
            <w:r w:rsidRPr="00FC2AE5">
              <w:t>)</w:t>
            </w:r>
          </w:p>
          <w:p w14:paraId="6E568395" w14:textId="5B4952F5" w:rsidR="004B4DB3" w:rsidRPr="00DE4CF4" w:rsidRDefault="00DE4CF4" w:rsidP="004B4DB3">
            <w:pPr>
              <w:jc w:val="both"/>
              <w:rPr>
                <w:i/>
              </w:rPr>
            </w:pPr>
            <w:r w:rsidRPr="00DE4CF4">
              <w:rPr>
                <w:color w:val="808080" w:themeColor="background1" w:themeShade="80"/>
              </w:rPr>
              <w:t xml:space="preserve">Vysoká škola stručně popíše, jakým způsobem dbá o dodržování etických aspektů VaVaI. Uvede stručný popis systému (lze uvést odkazy na statut a jednací řád etické komise/etických komisí, pokud existují) např. ve vazbě na dokument </w:t>
            </w:r>
            <w:proofErr w:type="spellStart"/>
            <w:r w:rsidRPr="00DE4CF4">
              <w:rPr>
                <w:color w:val="808080" w:themeColor="background1" w:themeShade="80"/>
              </w:rPr>
              <w:t>The</w:t>
            </w:r>
            <w:proofErr w:type="spellEnd"/>
            <w:r w:rsidRPr="00DE4CF4">
              <w:rPr>
                <w:color w:val="808080" w:themeColor="background1" w:themeShade="80"/>
              </w:rPr>
              <w:t xml:space="preserve"> </w:t>
            </w:r>
            <w:proofErr w:type="spellStart"/>
            <w:r w:rsidRPr="00DE4CF4">
              <w:rPr>
                <w:color w:val="808080" w:themeColor="background1" w:themeShade="80"/>
              </w:rPr>
              <w:t>European</w:t>
            </w:r>
            <w:proofErr w:type="spellEnd"/>
            <w:r w:rsidRPr="00DE4CF4">
              <w:rPr>
                <w:color w:val="808080" w:themeColor="background1" w:themeShade="80"/>
              </w:rPr>
              <w:t xml:space="preserve"> </w:t>
            </w:r>
            <w:proofErr w:type="spellStart"/>
            <w:r w:rsidRPr="00DE4CF4">
              <w:rPr>
                <w:color w:val="808080" w:themeColor="background1" w:themeShade="80"/>
              </w:rPr>
              <w:t>Code</w:t>
            </w:r>
            <w:proofErr w:type="spellEnd"/>
            <w:r w:rsidRPr="00DE4CF4">
              <w:rPr>
                <w:color w:val="808080" w:themeColor="background1" w:themeShade="80"/>
              </w:rPr>
              <w:t xml:space="preserve"> </w:t>
            </w:r>
            <w:proofErr w:type="spellStart"/>
            <w:r w:rsidRPr="00DE4CF4">
              <w:rPr>
                <w:color w:val="808080" w:themeColor="background1" w:themeShade="80"/>
              </w:rPr>
              <w:t>of</w:t>
            </w:r>
            <w:proofErr w:type="spellEnd"/>
            <w:r w:rsidRPr="00DE4CF4">
              <w:rPr>
                <w:color w:val="808080" w:themeColor="background1" w:themeShade="80"/>
              </w:rPr>
              <w:t xml:space="preserve"> </w:t>
            </w:r>
            <w:proofErr w:type="spellStart"/>
            <w:r w:rsidRPr="00DE4CF4">
              <w:rPr>
                <w:color w:val="808080" w:themeColor="background1" w:themeShade="80"/>
              </w:rPr>
              <w:t>Conduct</w:t>
            </w:r>
            <w:proofErr w:type="spellEnd"/>
            <w:r w:rsidRPr="00DE4CF4">
              <w:rPr>
                <w:color w:val="808080" w:themeColor="background1" w:themeShade="80"/>
              </w:rPr>
              <w:t xml:space="preserve"> </w:t>
            </w:r>
            <w:proofErr w:type="spellStart"/>
            <w:r w:rsidRPr="00DE4CF4">
              <w:rPr>
                <w:color w:val="808080" w:themeColor="background1" w:themeShade="80"/>
              </w:rPr>
              <w:t>for</w:t>
            </w:r>
            <w:proofErr w:type="spellEnd"/>
            <w:r w:rsidRPr="00DE4CF4">
              <w:rPr>
                <w:color w:val="808080" w:themeColor="background1" w:themeShade="80"/>
              </w:rPr>
              <w:t xml:space="preserve"> </w:t>
            </w:r>
            <w:proofErr w:type="spellStart"/>
            <w:r w:rsidRPr="00DE4CF4">
              <w:rPr>
                <w:color w:val="808080" w:themeColor="background1" w:themeShade="80"/>
              </w:rPr>
              <w:t>Research</w:t>
            </w:r>
            <w:proofErr w:type="spellEnd"/>
            <w:r w:rsidRPr="00DE4CF4">
              <w:rPr>
                <w:color w:val="808080" w:themeColor="background1" w:themeShade="80"/>
              </w:rPr>
              <w:t xml:space="preserve"> Integrity.</w:t>
            </w:r>
          </w:p>
        </w:tc>
      </w:tr>
    </w:tbl>
    <w:p w14:paraId="5DF2074D" w14:textId="77777777" w:rsidR="00D862D3" w:rsidRPr="005973EB" w:rsidRDefault="00D862D3" w:rsidP="00D862D3">
      <w:pPr>
        <w:jc w:val="both"/>
        <w:rPr>
          <w:rFonts w:cstheme="minorHAnsi"/>
          <w:b/>
          <w:sz w:val="20"/>
          <w:szCs w:val="20"/>
          <w:lang w:val="cs-CZ"/>
        </w:rPr>
      </w:pPr>
    </w:p>
    <w:tbl>
      <w:tblPr>
        <w:tblStyle w:val="Mkatabulky"/>
        <w:tblW w:w="0" w:type="auto"/>
        <w:tblLook w:val="04A0" w:firstRow="1" w:lastRow="0" w:firstColumn="1" w:lastColumn="0" w:noHBand="0" w:noVBand="1"/>
      </w:tblPr>
      <w:tblGrid>
        <w:gridCol w:w="9209"/>
      </w:tblGrid>
      <w:tr w:rsidR="00D862D3" w14:paraId="5831B3E4" w14:textId="77777777" w:rsidTr="00892563">
        <w:tc>
          <w:tcPr>
            <w:tcW w:w="9209" w:type="dxa"/>
          </w:tcPr>
          <w:p w14:paraId="290EF3C2" w14:textId="77777777" w:rsidR="00D862D3" w:rsidRDefault="00D862D3" w:rsidP="00892563">
            <w:pPr>
              <w:jc w:val="both"/>
              <w:rPr>
                <w:rFonts w:cstheme="minorHAnsi"/>
                <w:b/>
              </w:rPr>
            </w:pPr>
            <w:r>
              <w:rPr>
                <w:rFonts w:cstheme="minorHAnsi"/>
                <w:b/>
              </w:rPr>
              <w:t>S</w:t>
            </w:r>
            <w:r w:rsidRPr="005973EB">
              <w:rPr>
                <w:rFonts w:cstheme="minorHAnsi"/>
                <w:b/>
              </w:rPr>
              <w:t>ebehodnocení:</w:t>
            </w:r>
          </w:p>
          <w:p w14:paraId="3DAA2AB3" w14:textId="77777777" w:rsidR="00D862D3" w:rsidRDefault="00D862D3" w:rsidP="00892563">
            <w:pPr>
              <w:jc w:val="both"/>
              <w:rPr>
                <w:rFonts w:cstheme="minorHAnsi"/>
                <w:b/>
              </w:rPr>
            </w:pPr>
          </w:p>
          <w:p w14:paraId="4434EAF8" w14:textId="77777777" w:rsidR="00D862D3" w:rsidRDefault="00D862D3" w:rsidP="00892563">
            <w:pPr>
              <w:jc w:val="both"/>
              <w:rPr>
                <w:rFonts w:cstheme="minorHAnsi"/>
                <w:b/>
              </w:rPr>
            </w:pPr>
          </w:p>
          <w:p w14:paraId="3D27130C" w14:textId="77777777" w:rsidR="00D862D3" w:rsidRDefault="00D862D3" w:rsidP="00892563">
            <w:pPr>
              <w:jc w:val="both"/>
              <w:rPr>
                <w:rFonts w:cstheme="minorHAnsi"/>
                <w:b/>
              </w:rPr>
            </w:pPr>
          </w:p>
          <w:p w14:paraId="65E68964" w14:textId="77777777" w:rsidR="00D862D3" w:rsidRDefault="00D862D3" w:rsidP="00892563">
            <w:pPr>
              <w:jc w:val="both"/>
              <w:rPr>
                <w:rFonts w:cstheme="minorHAnsi"/>
                <w:b/>
              </w:rPr>
            </w:pPr>
          </w:p>
        </w:tc>
      </w:tr>
    </w:tbl>
    <w:p w14:paraId="1DBDBB06" w14:textId="77777777" w:rsidR="00DE4AB9" w:rsidRDefault="00DE4AB9" w:rsidP="00D862D3">
      <w:pPr>
        <w:jc w:val="both"/>
        <w:rPr>
          <w:rFonts w:cstheme="minorHAnsi"/>
          <w:b/>
          <w:sz w:val="22"/>
          <w:szCs w:val="22"/>
          <w:lang w:val="cs-CZ"/>
        </w:rPr>
      </w:pPr>
    </w:p>
    <w:p w14:paraId="772FA08D" w14:textId="77777777" w:rsidR="00D862D3" w:rsidRPr="0097716B" w:rsidRDefault="00D862D3" w:rsidP="00D862D3">
      <w:pPr>
        <w:jc w:val="both"/>
        <w:rPr>
          <w:rFonts w:cstheme="minorHAnsi"/>
          <w:b/>
          <w:sz w:val="22"/>
          <w:szCs w:val="22"/>
          <w:lang w:val="cs-CZ"/>
        </w:rPr>
      </w:pPr>
      <w:r w:rsidRPr="0097716B">
        <w:rPr>
          <w:rFonts w:cstheme="minorHAnsi"/>
          <w:b/>
          <w:sz w:val="22"/>
          <w:szCs w:val="22"/>
          <w:lang w:val="cs-CZ"/>
        </w:rPr>
        <w:t>Odkazy v HTML na podpůrné dokumenty:</w:t>
      </w:r>
    </w:p>
    <w:p w14:paraId="6EF77C7E" w14:textId="77777777" w:rsidR="005E0A69" w:rsidRDefault="005E0A69" w:rsidP="005E0A69">
      <w:pPr>
        <w:jc w:val="both"/>
        <w:rPr>
          <w:rFonts w:cstheme="minorHAnsi"/>
          <w:b/>
          <w:sz w:val="20"/>
          <w:szCs w:val="20"/>
          <w:lang w:val="cs-CZ"/>
        </w:rPr>
      </w:pPr>
    </w:p>
    <w:p w14:paraId="717F953A" w14:textId="77777777" w:rsidR="00AE1878" w:rsidRDefault="00AE1878" w:rsidP="005E0A69">
      <w:pPr>
        <w:jc w:val="both"/>
        <w:rPr>
          <w:rFonts w:cstheme="minorHAnsi"/>
          <w:b/>
          <w:sz w:val="20"/>
          <w:szCs w:val="20"/>
          <w:lang w:val="cs-CZ"/>
        </w:rPr>
      </w:pPr>
    </w:p>
    <w:p w14:paraId="36DE8997" w14:textId="77777777" w:rsidR="0051548D" w:rsidRDefault="0051548D" w:rsidP="005E0A69">
      <w:pPr>
        <w:jc w:val="both"/>
        <w:rPr>
          <w:b/>
          <w:lang w:val="cs-CZ"/>
        </w:rPr>
      </w:pPr>
    </w:p>
    <w:p w14:paraId="276FED4E" w14:textId="77777777" w:rsidR="005E0A69" w:rsidRDefault="005E0A69" w:rsidP="005E0A69">
      <w:pPr>
        <w:jc w:val="both"/>
        <w:rPr>
          <w:b/>
          <w:lang w:val="cs-CZ"/>
        </w:rPr>
      </w:pPr>
    </w:p>
    <w:tbl>
      <w:tblPr>
        <w:tblStyle w:val="Mkatabulky"/>
        <w:tblW w:w="9209" w:type="dxa"/>
        <w:tblLook w:val="04A0" w:firstRow="1" w:lastRow="0" w:firstColumn="1" w:lastColumn="0" w:noHBand="0" w:noVBand="1"/>
      </w:tblPr>
      <w:tblGrid>
        <w:gridCol w:w="9209"/>
      </w:tblGrid>
      <w:tr w:rsidR="005E0A69" w14:paraId="29343371" w14:textId="77777777" w:rsidTr="00686516">
        <w:tc>
          <w:tcPr>
            <w:tcW w:w="9209" w:type="dxa"/>
          </w:tcPr>
          <w:p w14:paraId="6CC1417B" w14:textId="77777777" w:rsidR="004B4DB3" w:rsidRDefault="004B4DB3" w:rsidP="00DD73FF">
            <w:pPr>
              <w:shd w:val="clear" w:color="auto" w:fill="90BDC5"/>
              <w:jc w:val="both"/>
              <w:rPr>
                <w:b/>
              </w:rPr>
            </w:pPr>
            <w:r w:rsidRPr="00375A49">
              <w:rPr>
                <w:b/>
              </w:rPr>
              <w:t>4.27 Strategie otevřeného přístupu k informac</w:t>
            </w:r>
            <w:r>
              <w:rPr>
                <w:b/>
              </w:rPr>
              <w:t>ím z VaVaI</w:t>
            </w:r>
            <w:r w:rsidRPr="00375A49">
              <w:rPr>
                <w:b/>
              </w:rPr>
              <w:t xml:space="preserve"> </w:t>
            </w:r>
          </w:p>
          <w:p w14:paraId="5D324656" w14:textId="4CFA0FA2" w:rsidR="004B4DB3" w:rsidRPr="00375A49" w:rsidRDefault="004B4DB3" w:rsidP="00DD73FF">
            <w:pPr>
              <w:shd w:val="clear" w:color="auto" w:fill="90BDC5"/>
              <w:jc w:val="both"/>
              <w:rPr>
                <w:b/>
              </w:rPr>
            </w:pPr>
            <w:r w:rsidRPr="00FC2AE5">
              <w:t>(Open Access)</w:t>
            </w:r>
          </w:p>
          <w:p w14:paraId="7E79FEE3" w14:textId="635B8AE0" w:rsidR="004B4DB3" w:rsidRPr="001C5E28" w:rsidRDefault="001C5E28" w:rsidP="004B4DB3">
            <w:pPr>
              <w:jc w:val="both"/>
              <w:rPr>
                <w:i/>
              </w:rPr>
            </w:pPr>
            <w:r w:rsidRPr="001C5E28">
              <w:rPr>
                <w:color w:val="808080" w:themeColor="background1" w:themeShade="80"/>
              </w:rPr>
              <w:t>Vysoká škola stručně popíše své institucionální strategie pro Open Science 2.0/Open Access (pokud existují), včetně např. provozu institucionálního repozitáře nebo jiných nástrojů.</w:t>
            </w:r>
          </w:p>
        </w:tc>
      </w:tr>
    </w:tbl>
    <w:p w14:paraId="792F3E5A" w14:textId="77777777" w:rsidR="00D862D3" w:rsidRPr="005973EB" w:rsidRDefault="00D862D3" w:rsidP="00D862D3">
      <w:pPr>
        <w:jc w:val="both"/>
        <w:rPr>
          <w:rFonts w:cstheme="minorHAnsi"/>
          <w:b/>
          <w:sz w:val="20"/>
          <w:szCs w:val="20"/>
          <w:lang w:val="cs-CZ"/>
        </w:rPr>
      </w:pPr>
    </w:p>
    <w:tbl>
      <w:tblPr>
        <w:tblStyle w:val="Mkatabulky"/>
        <w:tblW w:w="0" w:type="auto"/>
        <w:tblLook w:val="04A0" w:firstRow="1" w:lastRow="0" w:firstColumn="1" w:lastColumn="0" w:noHBand="0" w:noVBand="1"/>
      </w:tblPr>
      <w:tblGrid>
        <w:gridCol w:w="9209"/>
      </w:tblGrid>
      <w:tr w:rsidR="00D862D3" w14:paraId="53AF8F4B" w14:textId="77777777" w:rsidTr="00892563">
        <w:tc>
          <w:tcPr>
            <w:tcW w:w="9209" w:type="dxa"/>
          </w:tcPr>
          <w:p w14:paraId="2477E9B9" w14:textId="77777777" w:rsidR="00D862D3" w:rsidRDefault="00D862D3" w:rsidP="00892563">
            <w:pPr>
              <w:jc w:val="both"/>
              <w:rPr>
                <w:rFonts w:cstheme="minorHAnsi"/>
                <w:b/>
              </w:rPr>
            </w:pPr>
            <w:r>
              <w:rPr>
                <w:rFonts w:cstheme="minorHAnsi"/>
                <w:b/>
              </w:rPr>
              <w:t>S</w:t>
            </w:r>
            <w:r w:rsidRPr="005973EB">
              <w:rPr>
                <w:rFonts w:cstheme="minorHAnsi"/>
                <w:b/>
              </w:rPr>
              <w:t>ebehodnocení:</w:t>
            </w:r>
          </w:p>
          <w:p w14:paraId="274E2EC2" w14:textId="77777777" w:rsidR="00D862D3" w:rsidRDefault="00D862D3" w:rsidP="00892563">
            <w:pPr>
              <w:jc w:val="both"/>
              <w:rPr>
                <w:rFonts w:cstheme="minorHAnsi"/>
                <w:b/>
              </w:rPr>
            </w:pPr>
          </w:p>
          <w:p w14:paraId="7D648610" w14:textId="77777777" w:rsidR="00D862D3" w:rsidRDefault="00D862D3" w:rsidP="00892563">
            <w:pPr>
              <w:jc w:val="both"/>
              <w:rPr>
                <w:rFonts w:cstheme="minorHAnsi"/>
                <w:b/>
              </w:rPr>
            </w:pPr>
          </w:p>
          <w:p w14:paraId="14781FDB" w14:textId="77777777" w:rsidR="00D862D3" w:rsidRDefault="00D862D3" w:rsidP="00892563">
            <w:pPr>
              <w:jc w:val="both"/>
              <w:rPr>
                <w:rFonts w:cstheme="minorHAnsi"/>
                <w:b/>
              </w:rPr>
            </w:pPr>
          </w:p>
          <w:p w14:paraId="5F6ADAC4" w14:textId="77777777" w:rsidR="00D862D3" w:rsidRDefault="00D862D3" w:rsidP="00892563">
            <w:pPr>
              <w:jc w:val="both"/>
              <w:rPr>
                <w:rFonts w:cstheme="minorHAnsi"/>
                <w:b/>
              </w:rPr>
            </w:pPr>
          </w:p>
          <w:p w14:paraId="2157729D" w14:textId="77777777" w:rsidR="00D862D3" w:rsidRDefault="00D862D3" w:rsidP="00892563">
            <w:pPr>
              <w:jc w:val="both"/>
              <w:rPr>
                <w:rFonts w:cstheme="minorHAnsi"/>
                <w:b/>
              </w:rPr>
            </w:pPr>
          </w:p>
          <w:p w14:paraId="32D4A99B" w14:textId="77777777" w:rsidR="00D862D3" w:rsidRPr="005973EB" w:rsidRDefault="00D862D3" w:rsidP="00892563">
            <w:pPr>
              <w:jc w:val="both"/>
              <w:rPr>
                <w:rFonts w:cstheme="minorHAnsi"/>
                <w:b/>
              </w:rPr>
            </w:pPr>
          </w:p>
          <w:p w14:paraId="237B7E78" w14:textId="77777777" w:rsidR="00D862D3" w:rsidRDefault="00D862D3" w:rsidP="00892563">
            <w:pPr>
              <w:jc w:val="both"/>
              <w:rPr>
                <w:rFonts w:cstheme="minorHAnsi"/>
                <w:b/>
              </w:rPr>
            </w:pPr>
          </w:p>
        </w:tc>
      </w:tr>
    </w:tbl>
    <w:p w14:paraId="111917F3" w14:textId="77777777" w:rsidR="00D862D3" w:rsidRDefault="00D862D3" w:rsidP="00D862D3">
      <w:pPr>
        <w:rPr>
          <w:rFonts w:cstheme="minorHAnsi"/>
          <w:b/>
          <w:lang w:val="cs-CZ"/>
        </w:rPr>
      </w:pPr>
    </w:p>
    <w:p w14:paraId="0AB887BE" w14:textId="77777777" w:rsidR="00D862D3" w:rsidRPr="0097716B" w:rsidRDefault="00D862D3" w:rsidP="00D862D3">
      <w:pPr>
        <w:jc w:val="both"/>
        <w:rPr>
          <w:rFonts w:cstheme="minorHAnsi"/>
          <w:b/>
          <w:sz w:val="22"/>
          <w:szCs w:val="22"/>
          <w:lang w:val="cs-CZ"/>
        </w:rPr>
      </w:pPr>
      <w:r w:rsidRPr="0097716B">
        <w:rPr>
          <w:rFonts w:cstheme="minorHAnsi"/>
          <w:b/>
          <w:sz w:val="22"/>
          <w:szCs w:val="22"/>
          <w:lang w:val="cs-CZ"/>
        </w:rPr>
        <w:t>Odkazy v HTML na podpůrné dokumenty:</w:t>
      </w:r>
    </w:p>
    <w:p w14:paraId="52A63BF5" w14:textId="77777777" w:rsidR="005E0A69" w:rsidRDefault="005E0A69" w:rsidP="005E0A69">
      <w:pPr>
        <w:jc w:val="both"/>
        <w:rPr>
          <w:rFonts w:cstheme="minorHAnsi"/>
          <w:b/>
          <w:sz w:val="20"/>
          <w:szCs w:val="20"/>
          <w:lang w:val="cs-CZ"/>
        </w:rPr>
      </w:pPr>
    </w:p>
    <w:p w14:paraId="0B9400D0" w14:textId="77777777" w:rsidR="005E0A69" w:rsidRDefault="005E0A69" w:rsidP="005E0A69">
      <w:pPr>
        <w:jc w:val="both"/>
        <w:rPr>
          <w:b/>
          <w:lang w:val="cs-CZ"/>
        </w:rPr>
      </w:pPr>
    </w:p>
    <w:p w14:paraId="10EEFB8C" w14:textId="2C750A74" w:rsidR="005E0A69" w:rsidRDefault="005E0A69" w:rsidP="009D0004">
      <w:pPr>
        <w:rPr>
          <w:b/>
          <w:lang w:val="cs-CZ"/>
        </w:rPr>
      </w:pPr>
    </w:p>
    <w:p w14:paraId="12BC8DD4" w14:textId="77777777" w:rsidR="00DE4AB9" w:rsidRDefault="00DE4AB9" w:rsidP="009D0004">
      <w:pPr>
        <w:rPr>
          <w:b/>
          <w:lang w:val="cs-CZ"/>
        </w:rPr>
      </w:pPr>
    </w:p>
    <w:tbl>
      <w:tblPr>
        <w:tblStyle w:val="Mkatabulky"/>
        <w:tblW w:w="9209" w:type="dxa"/>
        <w:tblLook w:val="04A0" w:firstRow="1" w:lastRow="0" w:firstColumn="1" w:lastColumn="0" w:noHBand="0" w:noVBand="1"/>
      </w:tblPr>
      <w:tblGrid>
        <w:gridCol w:w="9209"/>
      </w:tblGrid>
      <w:tr w:rsidR="005E0A69" w14:paraId="6FA07BD5" w14:textId="77777777" w:rsidTr="00686516">
        <w:tc>
          <w:tcPr>
            <w:tcW w:w="9209" w:type="dxa"/>
          </w:tcPr>
          <w:p w14:paraId="21E824ED" w14:textId="77777777" w:rsidR="004B4DB3" w:rsidRDefault="004B4DB3" w:rsidP="00DD73FF">
            <w:pPr>
              <w:shd w:val="clear" w:color="auto" w:fill="90BDC5"/>
              <w:jc w:val="both"/>
              <w:rPr>
                <w:b/>
              </w:rPr>
            </w:pPr>
            <w:r w:rsidRPr="00375A49">
              <w:rPr>
                <w:b/>
              </w:rPr>
              <w:t xml:space="preserve">4.28 Strategie správy výzkumných dat </w:t>
            </w:r>
          </w:p>
          <w:p w14:paraId="6DAD06BB" w14:textId="61DD6EA3" w:rsidR="004B4DB3" w:rsidRPr="00375A49" w:rsidRDefault="004B4DB3" w:rsidP="00DD73FF">
            <w:pPr>
              <w:shd w:val="clear" w:color="auto" w:fill="90BDC5"/>
              <w:jc w:val="both"/>
              <w:rPr>
                <w:b/>
              </w:rPr>
            </w:pPr>
            <w:r w:rsidRPr="00FC2AE5">
              <w:t>(Data Management)</w:t>
            </w:r>
          </w:p>
          <w:p w14:paraId="7D77951D" w14:textId="212AE205" w:rsidR="004B4DB3" w:rsidRPr="001C5E28" w:rsidRDefault="001C5E28" w:rsidP="004B4DB3">
            <w:pPr>
              <w:jc w:val="both"/>
              <w:rPr>
                <w:i/>
              </w:rPr>
            </w:pPr>
            <w:r w:rsidRPr="001C5E28">
              <w:rPr>
                <w:color w:val="808080" w:themeColor="background1" w:themeShade="80"/>
              </w:rPr>
              <w:t>Vysoká škola popíše koncepci správy výzkumných dat: např. okomentuje způsob shromažďování dat, zpřístupnění a sdílení dat, ochranu duševního vlastnictví, etiku a ochranu osobních údajů, archivaci, zálohování, ošetření rizik, odpovědnost za datové soubory, zajištění kvality apod.</w:t>
            </w:r>
          </w:p>
        </w:tc>
      </w:tr>
    </w:tbl>
    <w:p w14:paraId="643C3BEB" w14:textId="77777777" w:rsidR="00D862D3" w:rsidRPr="005973EB" w:rsidRDefault="00D862D3" w:rsidP="00D862D3">
      <w:pPr>
        <w:jc w:val="both"/>
        <w:rPr>
          <w:rFonts w:cstheme="minorHAnsi"/>
          <w:b/>
          <w:sz w:val="20"/>
          <w:szCs w:val="20"/>
          <w:lang w:val="cs-CZ"/>
        </w:rPr>
      </w:pPr>
    </w:p>
    <w:tbl>
      <w:tblPr>
        <w:tblStyle w:val="Mkatabulky"/>
        <w:tblW w:w="0" w:type="auto"/>
        <w:tblLook w:val="04A0" w:firstRow="1" w:lastRow="0" w:firstColumn="1" w:lastColumn="0" w:noHBand="0" w:noVBand="1"/>
      </w:tblPr>
      <w:tblGrid>
        <w:gridCol w:w="9209"/>
      </w:tblGrid>
      <w:tr w:rsidR="00D862D3" w14:paraId="26A18E3A" w14:textId="77777777" w:rsidTr="00892563">
        <w:tc>
          <w:tcPr>
            <w:tcW w:w="9209" w:type="dxa"/>
          </w:tcPr>
          <w:p w14:paraId="75D3938A" w14:textId="77777777" w:rsidR="00D862D3" w:rsidRDefault="00D862D3" w:rsidP="00892563">
            <w:pPr>
              <w:jc w:val="both"/>
              <w:rPr>
                <w:rFonts w:cstheme="minorHAnsi"/>
                <w:b/>
              </w:rPr>
            </w:pPr>
            <w:r>
              <w:rPr>
                <w:rFonts w:cstheme="minorHAnsi"/>
                <w:b/>
              </w:rPr>
              <w:t>S</w:t>
            </w:r>
            <w:r w:rsidRPr="005973EB">
              <w:rPr>
                <w:rFonts w:cstheme="minorHAnsi"/>
                <w:b/>
              </w:rPr>
              <w:t>ebehodnocení:</w:t>
            </w:r>
          </w:p>
          <w:p w14:paraId="50D007EC" w14:textId="77777777" w:rsidR="00D862D3" w:rsidRDefault="00D862D3" w:rsidP="00892563">
            <w:pPr>
              <w:jc w:val="both"/>
              <w:rPr>
                <w:rFonts w:cstheme="minorHAnsi"/>
                <w:b/>
              </w:rPr>
            </w:pPr>
          </w:p>
          <w:p w14:paraId="57CCCD10" w14:textId="77777777" w:rsidR="00D862D3" w:rsidRDefault="00D862D3" w:rsidP="00892563">
            <w:pPr>
              <w:jc w:val="both"/>
              <w:rPr>
                <w:rFonts w:cstheme="minorHAnsi"/>
                <w:b/>
              </w:rPr>
            </w:pPr>
          </w:p>
          <w:p w14:paraId="2FA6A1FF" w14:textId="77777777" w:rsidR="00D862D3" w:rsidRDefault="00D862D3" w:rsidP="00892563">
            <w:pPr>
              <w:jc w:val="both"/>
              <w:rPr>
                <w:rFonts w:cstheme="minorHAnsi"/>
                <w:b/>
              </w:rPr>
            </w:pPr>
          </w:p>
        </w:tc>
      </w:tr>
    </w:tbl>
    <w:p w14:paraId="40AF2D73" w14:textId="77777777" w:rsidR="00895671" w:rsidRDefault="00895671" w:rsidP="00D862D3">
      <w:pPr>
        <w:jc w:val="both"/>
        <w:rPr>
          <w:rFonts w:cstheme="minorHAnsi"/>
          <w:b/>
          <w:sz w:val="22"/>
          <w:szCs w:val="22"/>
          <w:lang w:val="cs-CZ"/>
        </w:rPr>
      </w:pPr>
    </w:p>
    <w:p w14:paraId="707A224A" w14:textId="1A83B123" w:rsidR="00321C0C" w:rsidRPr="00895671" w:rsidRDefault="00D862D3" w:rsidP="00895671">
      <w:pPr>
        <w:jc w:val="both"/>
        <w:rPr>
          <w:rFonts w:cstheme="minorHAnsi"/>
          <w:b/>
          <w:sz w:val="22"/>
          <w:szCs w:val="22"/>
          <w:lang w:val="cs-CZ"/>
        </w:rPr>
      </w:pPr>
      <w:r w:rsidRPr="0097716B">
        <w:rPr>
          <w:rFonts w:cstheme="minorHAnsi"/>
          <w:b/>
          <w:sz w:val="22"/>
          <w:szCs w:val="22"/>
          <w:lang w:val="cs-CZ"/>
        </w:rPr>
        <w:t>Odkazy v HTML na podpůrné dokumenty:</w:t>
      </w:r>
      <w:r w:rsidR="0051548D">
        <w:rPr>
          <w:rFonts w:cstheme="minorHAnsi"/>
          <w:b/>
          <w:color w:val="808080" w:themeColor="background1" w:themeShade="80"/>
          <w:lang w:val="cs-CZ"/>
        </w:rPr>
        <w:br w:type="page"/>
      </w:r>
      <w:bookmarkStart w:id="20" w:name="_Toc13829030"/>
      <w:r w:rsidR="00321C0C" w:rsidRPr="00895671">
        <w:rPr>
          <w:rStyle w:val="Nadpis3Char"/>
        </w:rPr>
        <w:lastRenderedPageBreak/>
        <w:t>PŘÍLOHY (TABULKOVÁ ČÁST)</w:t>
      </w:r>
    </w:p>
    <w:p w14:paraId="18827403" w14:textId="77777777" w:rsidR="00321C0C" w:rsidRPr="00321C0C" w:rsidRDefault="00321C0C" w:rsidP="00321C0C">
      <w:pPr>
        <w:jc w:val="both"/>
        <w:rPr>
          <w:b/>
          <w:sz w:val="16"/>
          <w:szCs w:val="16"/>
          <w:lang w:val="cs-CZ"/>
        </w:rPr>
      </w:pPr>
    </w:p>
    <w:p w14:paraId="5FA945C5" w14:textId="77777777" w:rsidR="00321C0C" w:rsidRPr="00321C0C" w:rsidRDefault="00321C0C" w:rsidP="00321C0C">
      <w:pPr>
        <w:jc w:val="both"/>
        <w:rPr>
          <w:i/>
          <w:sz w:val="22"/>
          <w:szCs w:val="22"/>
          <w:lang w:val="cs-CZ"/>
        </w:rPr>
      </w:pPr>
      <w:r w:rsidRPr="00321C0C">
        <w:rPr>
          <w:i/>
          <w:sz w:val="22"/>
          <w:szCs w:val="22"/>
          <w:lang w:val="cs-CZ"/>
        </w:rPr>
        <w:t>Pro zjednodušení textu je v uvedených tabulkách pro označení osob používán mužský rod. Zpracovatel má ale vždy na mysli muže i ženy. V případech, kde jsou explicitně požadovány oddělené informace o ženách a mužích, jsou tyto údaje uvedeny.</w:t>
      </w:r>
    </w:p>
    <w:p w14:paraId="7BE6769F" w14:textId="77777777" w:rsidR="00321C0C" w:rsidRPr="00321C0C" w:rsidRDefault="00321C0C" w:rsidP="00321C0C">
      <w:pPr>
        <w:jc w:val="both"/>
        <w:rPr>
          <w:b/>
          <w:sz w:val="22"/>
          <w:szCs w:val="22"/>
          <w:lang w:val="cs-CZ"/>
        </w:rPr>
      </w:pPr>
    </w:p>
    <w:p w14:paraId="46E64A95" w14:textId="77777777" w:rsidR="00321C0C" w:rsidRPr="00321C0C" w:rsidRDefault="00321C0C" w:rsidP="00321C0C">
      <w:pPr>
        <w:contextualSpacing/>
        <w:jc w:val="both"/>
        <w:rPr>
          <w:rFonts w:cstheme="minorHAnsi"/>
          <w:b/>
          <w:lang w:val="cs-CZ"/>
        </w:rPr>
      </w:pPr>
      <w:r w:rsidRPr="00321C0C">
        <w:rPr>
          <w:rFonts w:cstheme="minorHAnsi"/>
          <w:b/>
          <w:lang w:val="cs-CZ"/>
        </w:rPr>
        <w:t xml:space="preserve">4.1 Organizace a řízení VaVaI </w:t>
      </w:r>
    </w:p>
    <w:p w14:paraId="0BC80A47" w14:textId="77777777" w:rsidR="00321C0C" w:rsidRPr="00321C0C" w:rsidRDefault="00321C0C" w:rsidP="00321C0C">
      <w:pPr>
        <w:contextualSpacing/>
        <w:jc w:val="both"/>
        <w:rPr>
          <w:rFonts w:cstheme="minorHAnsi"/>
          <w:b/>
          <w:sz w:val="22"/>
          <w:szCs w:val="22"/>
          <w:lang w:val="cs-CZ"/>
        </w:rPr>
      </w:pPr>
    </w:p>
    <w:p w14:paraId="143EF899" w14:textId="77777777" w:rsidR="00321C0C" w:rsidRPr="00321C0C" w:rsidRDefault="00321C0C" w:rsidP="00321C0C">
      <w:pPr>
        <w:contextualSpacing/>
        <w:jc w:val="both"/>
        <w:rPr>
          <w:rFonts w:cstheme="minorHAnsi"/>
          <w:sz w:val="22"/>
          <w:szCs w:val="22"/>
          <w:lang w:val="cs-CZ"/>
        </w:rPr>
      </w:pPr>
      <w:r w:rsidRPr="00321C0C">
        <w:rPr>
          <w:rFonts w:cstheme="minorHAnsi"/>
          <w:sz w:val="22"/>
          <w:szCs w:val="22"/>
          <w:lang w:val="cs-CZ"/>
        </w:rPr>
        <w:t>4.1.1 Struktura pracovníků, kteří se podílejí na VaVaI vysoké školy (počty fyzických zaměstnanců a pracovníků)</w:t>
      </w:r>
    </w:p>
    <w:p w14:paraId="4ED3BEE7" w14:textId="77777777" w:rsidR="00321C0C" w:rsidRPr="00321C0C" w:rsidRDefault="00321C0C" w:rsidP="00321C0C">
      <w:pPr>
        <w:contextualSpacing/>
        <w:jc w:val="both"/>
        <w:rPr>
          <w:rFonts w:cs="Times New Roman"/>
          <w:sz w:val="22"/>
          <w:szCs w:val="22"/>
          <w:u w:val="single"/>
          <w:lang w:val="cs-CZ"/>
        </w:rPr>
      </w:pPr>
    </w:p>
    <w:tbl>
      <w:tblPr>
        <w:tblStyle w:val="Mkatabulky2"/>
        <w:tblW w:w="10773" w:type="dxa"/>
        <w:jc w:val="center"/>
        <w:shd w:val="clear" w:color="auto" w:fill="F2F2F2" w:themeFill="background1" w:themeFillShade="F2"/>
        <w:tblLook w:val="04A0" w:firstRow="1" w:lastRow="0" w:firstColumn="1" w:lastColumn="0" w:noHBand="0" w:noVBand="1"/>
      </w:tblPr>
      <w:tblGrid>
        <w:gridCol w:w="2217"/>
        <w:gridCol w:w="679"/>
        <w:gridCol w:w="679"/>
        <w:gridCol w:w="680"/>
        <w:gridCol w:w="680"/>
        <w:gridCol w:w="680"/>
        <w:gridCol w:w="879"/>
        <w:gridCol w:w="680"/>
        <w:gridCol w:w="680"/>
        <w:gridCol w:w="680"/>
        <w:gridCol w:w="680"/>
        <w:gridCol w:w="680"/>
        <w:gridCol w:w="879"/>
      </w:tblGrid>
      <w:tr w:rsidR="00321C0C" w:rsidRPr="00321C0C" w14:paraId="41050BBA" w14:textId="77777777" w:rsidTr="0096628E">
        <w:trPr>
          <w:jc w:val="center"/>
        </w:trPr>
        <w:tc>
          <w:tcPr>
            <w:tcW w:w="221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4F7C09" w14:textId="77777777" w:rsidR="00321C0C" w:rsidRPr="00321C0C" w:rsidRDefault="00321C0C" w:rsidP="00321C0C">
            <w:pPr>
              <w:jc w:val="both"/>
              <w:rPr>
                <w:rFonts w:cstheme="minorHAnsi"/>
                <w:sz w:val="20"/>
                <w:szCs w:val="20"/>
              </w:rPr>
            </w:pPr>
            <w:r w:rsidRPr="00321C0C">
              <w:rPr>
                <w:rFonts w:cstheme="minorHAnsi"/>
                <w:sz w:val="20"/>
                <w:szCs w:val="20"/>
              </w:rPr>
              <w:t>Akademická/odborná pozice/rok</w:t>
            </w:r>
          </w:p>
        </w:tc>
        <w:tc>
          <w:tcPr>
            <w:tcW w:w="427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563021" w14:textId="77777777" w:rsidR="00321C0C" w:rsidRPr="00321C0C" w:rsidRDefault="00321C0C" w:rsidP="00321C0C">
            <w:pPr>
              <w:jc w:val="both"/>
              <w:rPr>
                <w:rFonts w:cstheme="minorHAnsi"/>
                <w:sz w:val="20"/>
                <w:szCs w:val="20"/>
              </w:rPr>
            </w:pPr>
            <w:r w:rsidRPr="00321C0C">
              <w:rPr>
                <w:rFonts w:cstheme="minorHAnsi"/>
                <w:sz w:val="20"/>
                <w:szCs w:val="20"/>
              </w:rPr>
              <w:t>Celkem</w:t>
            </w:r>
          </w:p>
        </w:tc>
        <w:tc>
          <w:tcPr>
            <w:tcW w:w="427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8100B6" w14:textId="77777777" w:rsidR="00321C0C" w:rsidRPr="00321C0C" w:rsidRDefault="00321C0C" w:rsidP="00321C0C">
            <w:pPr>
              <w:jc w:val="both"/>
              <w:rPr>
                <w:rFonts w:cstheme="minorHAnsi"/>
                <w:sz w:val="20"/>
                <w:szCs w:val="20"/>
              </w:rPr>
            </w:pPr>
            <w:r w:rsidRPr="00321C0C">
              <w:rPr>
                <w:rFonts w:cstheme="minorHAnsi"/>
                <w:sz w:val="20"/>
                <w:szCs w:val="20"/>
              </w:rPr>
              <w:t>Z toho ženy</w:t>
            </w:r>
          </w:p>
        </w:tc>
      </w:tr>
      <w:tr w:rsidR="00321C0C" w:rsidRPr="00321C0C" w14:paraId="50171252" w14:textId="77777777" w:rsidTr="0096628E">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9FBCF6" w14:textId="77777777" w:rsidR="00321C0C" w:rsidRPr="00321C0C" w:rsidRDefault="00321C0C" w:rsidP="00321C0C">
            <w:pPr>
              <w:jc w:val="both"/>
              <w:rPr>
                <w:rFonts w:cstheme="minorHAnsi"/>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2133FD" w14:textId="77777777" w:rsidR="00321C0C" w:rsidRPr="00321C0C" w:rsidRDefault="00321C0C" w:rsidP="00321C0C">
            <w:pPr>
              <w:jc w:val="both"/>
              <w:rPr>
                <w:rFonts w:cstheme="minorHAnsi"/>
                <w:sz w:val="20"/>
                <w:szCs w:val="20"/>
              </w:rPr>
            </w:pPr>
            <w:r w:rsidRPr="00321C0C">
              <w:rPr>
                <w:rFonts w:cstheme="minorHAnsi"/>
                <w:sz w:val="20"/>
                <w:szCs w:val="20"/>
              </w:rPr>
              <w:t>2014</w:t>
            </w: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D425E3" w14:textId="77777777" w:rsidR="00321C0C" w:rsidRPr="00321C0C" w:rsidRDefault="00321C0C" w:rsidP="00321C0C">
            <w:pPr>
              <w:jc w:val="both"/>
              <w:rPr>
                <w:rFonts w:cstheme="minorHAnsi"/>
                <w:sz w:val="20"/>
                <w:szCs w:val="20"/>
              </w:rPr>
            </w:pPr>
            <w:r w:rsidRPr="00321C0C">
              <w:rPr>
                <w:rFonts w:cstheme="minorHAnsi"/>
                <w:sz w:val="20"/>
                <w:szCs w:val="20"/>
              </w:rPr>
              <w:t>2015</w:t>
            </w: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BE390E" w14:textId="77777777" w:rsidR="00321C0C" w:rsidRPr="00321C0C" w:rsidRDefault="00321C0C" w:rsidP="00321C0C">
            <w:pPr>
              <w:jc w:val="both"/>
              <w:rPr>
                <w:rFonts w:cstheme="minorHAnsi"/>
                <w:sz w:val="20"/>
                <w:szCs w:val="20"/>
              </w:rPr>
            </w:pPr>
            <w:r w:rsidRPr="00321C0C">
              <w:rPr>
                <w:rFonts w:cstheme="minorHAnsi"/>
                <w:sz w:val="20"/>
                <w:szCs w:val="20"/>
              </w:rPr>
              <w:t>2016</w:t>
            </w: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9F89CA" w14:textId="77777777" w:rsidR="00321C0C" w:rsidRPr="00321C0C" w:rsidRDefault="00321C0C" w:rsidP="00321C0C">
            <w:pPr>
              <w:jc w:val="both"/>
              <w:rPr>
                <w:rFonts w:cstheme="minorHAnsi"/>
                <w:sz w:val="20"/>
                <w:szCs w:val="20"/>
              </w:rPr>
            </w:pPr>
            <w:r w:rsidRPr="00321C0C">
              <w:rPr>
                <w:rFonts w:cstheme="minorHAnsi"/>
                <w:sz w:val="20"/>
                <w:szCs w:val="20"/>
              </w:rPr>
              <w:t>2017</w:t>
            </w: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75BCCF" w14:textId="77777777" w:rsidR="00321C0C" w:rsidRPr="00321C0C" w:rsidRDefault="00321C0C" w:rsidP="00321C0C">
            <w:pPr>
              <w:jc w:val="both"/>
              <w:rPr>
                <w:rFonts w:cstheme="minorHAnsi"/>
                <w:sz w:val="20"/>
                <w:szCs w:val="20"/>
              </w:rPr>
            </w:pPr>
            <w:r w:rsidRPr="00321C0C">
              <w:rPr>
                <w:rFonts w:cstheme="minorHAnsi"/>
                <w:sz w:val="20"/>
                <w:szCs w:val="20"/>
              </w:rPr>
              <w:t>2018</w:t>
            </w: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D93468" w14:textId="77777777" w:rsidR="00321C0C" w:rsidRPr="00321C0C" w:rsidRDefault="00321C0C" w:rsidP="00321C0C">
            <w:pPr>
              <w:jc w:val="both"/>
              <w:rPr>
                <w:rFonts w:cstheme="minorHAnsi"/>
                <w:sz w:val="20"/>
                <w:szCs w:val="20"/>
              </w:rPr>
            </w:pPr>
            <w:r w:rsidRPr="00321C0C">
              <w:rPr>
                <w:rFonts w:cstheme="minorHAnsi"/>
                <w:sz w:val="20"/>
                <w:szCs w:val="20"/>
              </w:rPr>
              <w:t>celkem</w:t>
            </w: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BC4B9A" w14:textId="77777777" w:rsidR="00321C0C" w:rsidRPr="00321C0C" w:rsidRDefault="00321C0C" w:rsidP="00321C0C">
            <w:pPr>
              <w:jc w:val="both"/>
              <w:rPr>
                <w:rFonts w:cstheme="minorHAnsi"/>
                <w:sz w:val="20"/>
                <w:szCs w:val="20"/>
              </w:rPr>
            </w:pPr>
            <w:r w:rsidRPr="00321C0C">
              <w:rPr>
                <w:rFonts w:cstheme="minorHAnsi"/>
                <w:sz w:val="20"/>
                <w:szCs w:val="20"/>
              </w:rPr>
              <w:t>2014</w:t>
            </w: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AD3A45" w14:textId="77777777" w:rsidR="00321C0C" w:rsidRPr="00321C0C" w:rsidRDefault="00321C0C" w:rsidP="00321C0C">
            <w:pPr>
              <w:jc w:val="both"/>
              <w:rPr>
                <w:rFonts w:cstheme="minorHAnsi"/>
                <w:sz w:val="20"/>
                <w:szCs w:val="20"/>
              </w:rPr>
            </w:pPr>
            <w:r w:rsidRPr="00321C0C">
              <w:rPr>
                <w:rFonts w:cstheme="minorHAnsi"/>
                <w:sz w:val="20"/>
                <w:szCs w:val="20"/>
              </w:rPr>
              <w:t>2015</w:t>
            </w: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A1556A" w14:textId="77777777" w:rsidR="00321C0C" w:rsidRPr="00321C0C" w:rsidRDefault="00321C0C" w:rsidP="00321C0C">
            <w:pPr>
              <w:jc w:val="both"/>
              <w:rPr>
                <w:rFonts w:cstheme="minorHAnsi"/>
                <w:sz w:val="20"/>
                <w:szCs w:val="20"/>
              </w:rPr>
            </w:pPr>
            <w:r w:rsidRPr="00321C0C">
              <w:rPr>
                <w:rFonts w:cstheme="minorHAnsi"/>
                <w:sz w:val="20"/>
                <w:szCs w:val="20"/>
              </w:rPr>
              <w:t>2016</w:t>
            </w: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569003" w14:textId="77777777" w:rsidR="00321C0C" w:rsidRPr="00321C0C" w:rsidRDefault="00321C0C" w:rsidP="00321C0C">
            <w:pPr>
              <w:jc w:val="both"/>
              <w:rPr>
                <w:rFonts w:cstheme="minorHAnsi"/>
                <w:sz w:val="20"/>
                <w:szCs w:val="20"/>
              </w:rPr>
            </w:pPr>
            <w:r w:rsidRPr="00321C0C">
              <w:rPr>
                <w:rFonts w:cstheme="minorHAnsi"/>
                <w:sz w:val="20"/>
                <w:szCs w:val="20"/>
              </w:rPr>
              <w:t>2017</w:t>
            </w: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F8805" w14:textId="77777777" w:rsidR="00321C0C" w:rsidRPr="00321C0C" w:rsidRDefault="00321C0C" w:rsidP="00321C0C">
            <w:pPr>
              <w:jc w:val="both"/>
              <w:rPr>
                <w:rFonts w:cstheme="minorHAnsi"/>
                <w:sz w:val="20"/>
                <w:szCs w:val="20"/>
              </w:rPr>
            </w:pPr>
            <w:r w:rsidRPr="00321C0C">
              <w:rPr>
                <w:rFonts w:cstheme="minorHAnsi"/>
                <w:sz w:val="20"/>
                <w:szCs w:val="20"/>
              </w:rPr>
              <w:t>2018</w:t>
            </w: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722C36" w14:textId="77777777" w:rsidR="00321C0C" w:rsidRPr="00321C0C" w:rsidRDefault="00321C0C" w:rsidP="00321C0C">
            <w:pPr>
              <w:jc w:val="both"/>
              <w:rPr>
                <w:rFonts w:cstheme="minorHAnsi"/>
                <w:sz w:val="20"/>
                <w:szCs w:val="20"/>
              </w:rPr>
            </w:pPr>
            <w:r w:rsidRPr="00321C0C">
              <w:rPr>
                <w:rFonts w:cstheme="minorHAnsi"/>
                <w:sz w:val="20"/>
                <w:szCs w:val="20"/>
              </w:rPr>
              <w:t>celkem</w:t>
            </w:r>
          </w:p>
        </w:tc>
      </w:tr>
      <w:tr w:rsidR="00321C0C" w:rsidRPr="00321C0C" w14:paraId="1BC511B2" w14:textId="77777777" w:rsidTr="0096628E">
        <w:trPr>
          <w:jc w:val="center"/>
        </w:trPr>
        <w:tc>
          <w:tcPr>
            <w:tcW w:w="2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26B3A0" w14:textId="77777777" w:rsidR="00321C0C" w:rsidRPr="00321C0C" w:rsidRDefault="00321C0C" w:rsidP="00321C0C">
            <w:pPr>
              <w:jc w:val="both"/>
              <w:rPr>
                <w:rFonts w:cstheme="minorHAnsi"/>
                <w:sz w:val="20"/>
                <w:szCs w:val="20"/>
              </w:rPr>
            </w:pPr>
            <w:r w:rsidRPr="00321C0C">
              <w:rPr>
                <w:rFonts w:cstheme="minorHAnsi"/>
                <w:sz w:val="20"/>
                <w:szCs w:val="20"/>
              </w:rPr>
              <w:t>Profesoři</w:t>
            </w: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C5C0D1" w14:textId="77777777" w:rsidR="00321C0C" w:rsidRPr="00321C0C" w:rsidRDefault="00321C0C" w:rsidP="00321C0C">
            <w:pPr>
              <w:jc w:val="both"/>
              <w:rPr>
                <w:rFonts w:cstheme="minorHAnsi"/>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82D489"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2077F7"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723A9"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0FD793"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CDD953"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172475"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DE9E81"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739A66"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F7053C"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90A1E4"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9F9288" w14:textId="77777777" w:rsidR="00321C0C" w:rsidRPr="00321C0C" w:rsidRDefault="00321C0C" w:rsidP="00321C0C">
            <w:pPr>
              <w:jc w:val="both"/>
              <w:rPr>
                <w:rFonts w:cstheme="minorHAnsi"/>
                <w:sz w:val="20"/>
                <w:szCs w:val="20"/>
              </w:rPr>
            </w:pPr>
          </w:p>
        </w:tc>
      </w:tr>
      <w:tr w:rsidR="00321C0C" w:rsidRPr="00321C0C" w14:paraId="6EEAF04B" w14:textId="77777777" w:rsidTr="0096628E">
        <w:trPr>
          <w:jc w:val="center"/>
        </w:trPr>
        <w:tc>
          <w:tcPr>
            <w:tcW w:w="2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44AC88" w14:textId="77777777" w:rsidR="00321C0C" w:rsidRPr="00321C0C" w:rsidRDefault="00321C0C" w:rsidP="00321C0C">
            <w:pPr>
              <w:jc w:val="both"/>
              <w:rPr>
                <w:rFonts w:cstheme="minorHAnsi"/>
                <w:sz w:val="20"/>
                <w:szCs w:val="20"/>
              </w:rPr>
            </w:pPr>
            <w:r w:rsidRPr="00321C0C">
              <w:rPr>
                <w:rFonts w:cstheme="minorHAnsi"/>
                <w:sz w:val="20"/>
                <w:szCs w:val="20"/>
              </w:rPr>
              <w:t>Docenti</w:t>
            </w: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9BD990" w14:textId="77777777" w:rsidR="00321C0C" w:rsidRPr="00321C0C" w:rsidRDefault="00321C0C" w:rsidP="00321C0C">
            <w:pPr>
              <w:jc w:val="both"/>
              <w:rPr>
                <w:rFonts w:cstheme="minorHAnsi"/>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F64267"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5E4223"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1BEE96"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9CE156"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7D68DA"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2C270B"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E2C582"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BFF760"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1EE20"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9909B4"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16348F" w14:textId="77777777" w:rsidR="00321C0C" w:rsidRPr="00321C0C" w:rsidRDefault="00321C0C" w:rsidP="00321C0C">
            <w:pPr>
              <w:jc w:val="both"/>
              <w:rPr>
                <w:rFonts w:cstheme="minorHAnsi"/>
                <w:sz w:val="20"/>
                <w:szCs w:val="20"/>
              </w:rPr>
            </w:pPr>
          </w:p>
        </w:tc>
      </w:tr>
      <w:tr w:rsidR="00321C0C" w:rsidRPr="00321C0C" w14:paraId="43326D0C" w14:textId="77777777" w:rsidTr="0096628E">
        <w:trPr>
          <w:jc w:val="center"/>
        </w:trPr>
        <w:tc>
          <w:tcPr>
            <w:tcW w:w="2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115CBE" w14:textId="77777777" w:rsidR="00321C0C" w:rsidRPr="00321C0C" w:rsidRDefault="00321C0C" w:rsidP="00321C0C">
            <w:pPr>
              <w:jc w:val="both"/>
              <w:rPr>
                <w:rFonts w:cstheme="minorHAnsi"/>
                <w:sz w:val="20"/>
                <w:szCs w:val="20"/>
              </w:rPr>
            </w:pPr>
            <w:r w:rsidRPr="00321C0C">
              <w:rPr>
                <w:rFonts w:cstheme="minorHAnsi"/>
                <w:sz w:val="20"/>
                <w:szCs w:val="20"/>
              </w:rPr>
              <w:t>Odborní asistenti</w:t>
            </w: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1FB114" w14:textId="77777777" w:rsidR="00321C0C" w:rsidRPr="00321C0C" w:rsidRDefault="00321C0C" w:rsidP="00321C0C">
            <w:pPr>
              <w:jc w:val="both"/>
              <w:rPr>
                <w:rFonts w:cstheme="minorHAnsi"/>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D90DC2"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F17583"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35F89C"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8F403A"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9FDCD0"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E71F69"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CBEC2"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1EFA7B"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7C3100"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70B18F"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586548" w14:textId="77777777" w:rsidR="00321C0C" w:rsidRPr="00321C0C" w:rsidRDefault="00321C0C" w:rsidP="00321C0C">
            <w:pPr>
              <w:jc w:val="both"/>
              <w:rPr>
                <w:rFonts w:cstheme="minorHAnsi"/>
                <w:sz w:val="20"/>
                <w:szCs w:val="20"/>
              </w:rPr>
            </w:pPr>
          </w:p>
        </w:tc>
      </w:tr>
      <w:tr w:rsidR="00321C0C" w:rsidRPr="00321C0C" w14:paraId="5D444535" w14:textId="77777777" w:rsidTr="0096628E">
        <w:trPr>
          <w:jc w:val="center"/>
        </w:trPr>
        <w:tc>
          <w:tcPr>
            <w:tcW w:w="2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8E42CD" w14:textId="77777777" w:rsidR="00321C0C" w:rsidRPr="00321C0C" w:rsidRDefault="00321C0C" w:rsidP="00321C0C">
            <w:pPr>
              <w:jc w:val="both"/>
              <w:rPr>
                <w:rFonts w:cstheme="minorHAnsi"/>
                <w:sz w:val="20"/>
                <w:szCs w:val="20"/>
              </w:rPr>
            </w:pPr>
            <w:r w:rsidRPr="00321C0C">
              <w:rPr>
                <w:rFonts w:cstheme="minorHAnsi"/>
                <w:sz w:val="20"/>
                <w:szCs w:val="20"/>
              </w:rPr>
              <w:t>Asistenti</w:t>
            </w: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A552FD" w14:textId="77777777" w:rsidR="00321C0C" w:rsidRPr="00321C0C" w:rsidRDefault="00321C0C" w:rsidP="00321C0C">
            <w:pPr>
              <w:jc w:val="both"/>
              <w:rPr>
                <w:rFonts w:cstheme="minorHAnsi"/>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6DADAC"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AC64F2"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A95A00"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EE93C9"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A83B11"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EEEC18"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E4244B"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512757"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5F0321"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07F09E"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A698E4" w14:textId="77777777" w:rsidR="00321C0C" w:rsidRPr="00321C0C" w:rsidRDefault="00321C0C" w:rsidP="00321C0C">
            <w:pPr>
              <w:jc w:val="both"/>
              <w:rPr>
                <w:rFonts w:cstheme="minorHAnsi"/>
                <w:sz w:val="20"/>
                <w:szCs w:val="20"/>
              </w:rPr>
            </w:pPr>
          </w:p>
        </w:tc>
      </w:tr>
      <w:tr w:rsidR="00321C0C" w:rsidRPr="00321C0C" w14:paraId="522239CA" w14:textId="77777777" w:rsidTr="0096628E">
        <w:trPr>
          <w:jc w:val="center"/>
        </w:trPr>
        <w:tc>
          <w:tcPr>
            <w:tcW w:w="2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1FEF0D" w14:textId="77777777" w:rsidR="00321C0C" w:rsidRPr="00321C0C" w:rsidRDefault="00321C0C" w:rsidP="00321C0C">
            <w:pPr>
              <w:jc w:val="both"/>
              <w:rPr>
                <w:rFonts w:cstheme="minorHAnsi"/>
                <w:sz w:val="20"/>
                <w:szCs w:val="20"/>
              </w:rPr>
            </w:pPr>
            <w:r w:rsidRPr="00321C0C">
              <w:rPr>
                <w:rFonts w:cstheme="minorHAnsi"/>
                <w:sz w:val="20"/>
                <w:szCs w:val="20"/>
              </w:rPr>
              <w:t>Vědečtí, výzkumní a vývojoví pracovníci podílející se na pedagogické činnosti</w:t>
            </w: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2295AC" w14:textId="77777777" w:rsidR="00321C0C" w:rsidRPr="00321C0C" w:rsidRDefault="00321C0C" w:rsidP="00321C0C">
            <w:pPr>
              <w:jc w:val="both"/>
              <w:rPr>
                <w:rFonts w:cstheme="minorHAnsi"/>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D4BA0D"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F28B5F"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97EB9"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DF566C"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03578F"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2D91F"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9061BC"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026394"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B30F63"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623504"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988B3C" w14:textId="77777777" w:rsidR="00321C0C" w:rsidRPr="00321C0C" w:rsidRDefault="00321C0C" w:rsidP="00321C0C">
            <w:pPr>
              <w:jc w:val="both"/>
              <w:rPr>
                <w:rFonts w:cstheme="minorHAnsi"/>
                <w:sz w:val="20"/>
                <w:szCs w:val="20"/>
              </w:rPr>
            </w:pPr>
          </w:p>
        </w:tc>
      </w:tr>
      <w:tr w:rsidR="00321C0C" w:rsidRPr="00321C0C" w14:paraId="104A33CB" w14:textId="77777777" w:rsidTr="0096628E">
        <w:trPr>
          <w:jc w:val="center"/>
        </w:trPr>
        <w:tc>
          <w:tcPr>
            <w:tcW w:w="2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0FCEAE" w14:textId="77777777" w:rsidR="00321C0C" w:rsidRPr="00321C0C" w:rsidRDefault="00321C0C" w:rsidP="00321C0C">
            <w:pPr>
              <w:jc w:val="both"/>
              <w:rPr>
                <w:rFonts w:cstheme="minorHAnsi"/>
                <w:sz w:val="20"/>
                <w:szCs w:val="20"/>
              </w:rPr>
            </w:pPr>
            <w:proofErr w:type="spellStart"/>
            <w:r w:rsidRPr="00321C0C">
              <w:rPr>
                <w:rFonts w:cstheme="minorHAnsi"/>
                <w:sz w:val="20"/>
                <w:szCs w:val="20"/>
              </w:rPr>
              <w:t>Postdoktorandi</w:t>
            </w:r>
            <w:proofErr w:type="spellEnd"/>
            <w:r w:rsidRPr="00321C0C">
              <w:rPr>
                <w:rFonts w:cstheme="minorHAnsi"/>
                <w:sz w:val="20"/>
                <w:szCs w:val="20"/>
              </w:rPr>
              <w:t xml:space="preserve"> („</w:t>
            </w:r>
            <w:proofErr w:type="spellStart"/>
            <w:r w:rsidRPr="00321C0C">
              <w:rPr>
                <w:rFonts w:cstheme="minorHAnsi"/>
                <w:sz w:val="20"/>
                <w:szCs w:val="20"/>
              </w:rPr>
              <w:t>postdok</w:t>
            </w:r>
            <w:proofErr w:type="spellEnd"/>
            <w:r w:rsidRPr="00321C0C">
              <w:rPr>
                <w:rFonts w:cstheme="minorHAnsi"/>
                <w:sz w:val="20"/>
                <w:szCs w:val="20"/>
              </w:rPr>
              <w:t>“)</w:t>
            </w: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78A9F3" w14:textId="77777777" w:rsidR="00321C0C" w:rsidRPr="00321C0C" w:rsidRDefault="00321C0C" w:rsidP="00321C0C">
            <w:pPr>
              <w:jc w:val="both"/>
              <w:rPr>
                <w:rFonts w:cstheme="minorHAnsi"/>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CA6B8"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34B9B5"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C53EEE"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BF2C5"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6D6642"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8B1AB"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C4AFBC"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968521"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E27EC"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CE2F9F"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05CB05" w14:textId="77777777" w:rsidR="00321C0C" w:rsidRPr="00321C0C" w:rsidRDefault="00321C0C" w:rsidP="00321C0C">
            <w:pPr>
              <w:jc w:val="both"/>
              <w:rPr>
                <w:rFonts w:cstheme="minorHAnsi"/>
                <w:sz w:val="20"/>
                <w:szCs w:val="20"/>
              </w:rPr>
            </w:pPr>
          </w:p>
        </w:tc>
      </w:tr>
      <w:tr w:rsidR="00321C0C" w:rsidRPr="00321C0C" w14:paraId="20F55A1A" w14:textId="77777777" w:rsidTr="0096628E">
        <w:trPr>
          <w:jc w:val="center"/>
        </w:trPr>
        <w:tc>
          <w:tcPr>
            <w:tcW w:w="2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B1B656" w14:textId="77777777" w:rsidR="00321C0C" w:rsidRPr="00321C0C" w:rsidRDefault="00321C0C" w:rsidP="00321C0C">
            <w:pPr>
              <w:jc w:val="both"/>
              <w:rPr>
                <w:rFonts w:cstheme="minorHAnsi"/>
                <w:sz w:val="20"/>
                <w:szCs w:val="20"/>
              </w:rPr>
            </w:pPr>
            <w:r w:rsidRPr="00321C0C">
              <w:rPr>
                <w:rFonts w:cstheme="minorHAnsi"/>
                <w:sz w:val="20"/>
                <w:szCs w:val="20"/>
              </w:rPr>
              <w:t>Ph.D. studenti</w:t>
            </w: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ACC595" w14:textId="77777777" w:rsidR="00321C0C" w:rsidRPr="00321C0C" w:rsidRDefault="00321C0C" w:rsidP="00321C0C">
            <w:pPr>
              <w:jc w:val="both"/>
              <w:rPr>
                <w:rFonts w:cstheme="minorHAnsi"/>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248B6A"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055AC0"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717D2"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D9A33E"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83932"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970B6E"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E53C0"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FCFF6"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D9B05C"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4FA8C5"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0A3DE6" w14:textId="77777777" w:rsidR="00321C0C" w:rsidRPr="00321C0C" w:rsidRDefault="00321C0C" w:rsidP="00321C0C">
            <w:pPr>
              <w:jc w:val="both"/>
              <w:rPr>
                <w:rFonts w:cstheme="minorHAnsi"/>
                <w:sz w:val="20"/>
                <w:szCs w:val="20"/>
              </w:rPr>
            </w:pPr>
          </w:p>
        </w:tc>
      </w:tr>
      <w:tr w:rsidR="00321C0C" w:rsidRPr="00321C0C" w14:paraId="4F0B09EC" w14:textId="77777777" w:rsidTr="0096628E">
        <w:trPr>
          <w:jc w:val="center"/>
        </w:trPr>
        <w:tc>
          <w:tcPr>
            <w:tcW w:w="2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8E5E19" w14:textId="77777777" w:rsidR="00321C0C" w:rsidRPr="00321C0C" w:rsidRDefault="00321C0C" w:rsidP="00321C0C">
            <w:pPr>
              <w:jc w:val="both"/>
              <w:rPr>
                <w:rFonts w:cstheme="minorHAnsi"/>
                <w:sz w:val="20"/>
                <w:szCs w:val="20"/>
              </w:rPr>
            </w:pPr>
            <w:r w:rsidRPr="00321C0C">
              <w:rPr>
                <w:rFonts w:cstheme="minorHAnsi"/>
                <w:sz w:val="20"/>
                <w:szCs w:val="20"/>
              </w:rPr>
              <w:t>Ostatní vědečtí, výzkumní a vývojoví pracovníci</w:t>
            </w: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BCF04D" w14:textId="77777777" w:rsidR="00321C0C" w:rsidRPr="00321C0C" w:rsidRDefault="00321C0C" w:rsidP="00321C0C">
            <w:pPr>
              <w:jc w:val="both"/>
              <w:rPr>
                <w:rFonts w:cstheme="minorHAnsi"/>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5B8054"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5705DD"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889F9C"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6029F2"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35EF92"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3498E5"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DA4F67"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24DD76"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50D6CD"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4D55A1"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DAF58E" w14:textId="77777777" w:rsidR="00321C0C" w:rsidRPr="00321C0C" w:rsidRDefault="00321C0C" w:rsidP="00321C0C">
            <w:pPr>
              <w:jc w:val="both"/>
              <w:rPr>
                <w:rFonts w:cstheme="minorHAnsi"/>
                <w:sz w:val="20"/>
                <w:szCs w:val="20"/>
              </w:rPr>
            </w:pPr>
          </w:p>
        </w:tc>
      </w:tr>
      <w:tr w:rsidR="00321C0C" w:rsidRPr="00321C0C" w14:paraId="48F775DA" w14:textId="77777777" w:rsidTr="0096628E">
        <w:trPr>
          <w:jc w:val="center"/>
        </w:trPr>
        <w:tc>
          <w:tcPr>
            <w:tcW w:w="2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888B8E" w14:textId="77777777" w:rsidR="00321C0C" w:rsidRPr="00321C0C" w:rsidRDefault="00321C0C" w:rsidP="00321C0C">
            <w:pPr>
              <w:jc w:val="both"/>
              <w:rPr>
                <w:rFonts w:cstheme="minorHAnsi"/>
                <w:sz w:val="20"/>
                <w:szCs w:val="20"/>
              </w:rPr>
            </w:pPr>
            <w:r w:rsidRPr="00321C0C">
              <w:rPr>
                <w:rFonts w:cstheme="minorHAnsi"/>
                <w:sz w:val="20"/>
                <w:szCs w:val="20"/>
              </w:rPr>
              <w:t>Vědečtí pracovníci nespadající do ostatních kategorií</w:t>
            </w: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5ECB36" w14:textId="77777777" w:rsidR="00321C0C" w:rsidRPr="00321C0C" w:rsidRDefault="00321C0C" w:rsidP="00321C0C">
            <w:pPr>
              <w:jc w:val="both"/>
              <w:rPr>
                <w:rFonts w:cstheme="minorHAnsi"/>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A69D93"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F7EAC4"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F63D4B"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9A22C9"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5703C"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F60FA"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D80C9F"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68F346"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499129"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52855F"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D35F2F" w14:textId="77777777" w:rsidR="00321C0C" w:rsidRPr="00321C0C" w:rsidRDefault="00321C0C" w:rsidP="00321C0C">
            <w:pPr>
              <w:jc w:val="both"/>
              <w:rPr>
                <w:rFonts w:cstheme="minorHAnsi"/>
                <w:sz w:val="20"/>
                <w:szCs w:val="20"/>
              </w:rPr>
            </w:pPr>
          </w:p>
        </w:tc>
      </w:tr>
      <w:tr w:rsidR="00321C0C" w:rsidRPr="00321C0C" w14:paraId="064FE006" w14:textId="77777777" w:rsidTr="0096628E">
        <w:trPr>
          <w:jc w:val="center"/>
        </w:trPr>
        <w:tc>
          <w:tcPr>
            <w:tcW w:w="2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70F5B3" w14:textId="77777777" w:rsidR="00321C0C" w:rsidRPr="00321C0C" w:rsidRDefault="00321C0C" w:rsidP="00321C0C">
            <w:pPr>
              <w:jc w:val="both"/>
              <w:rPr>
                <w:rFonts w:cstheme="minorHAnsi"/>
                <w:sz w:val="20"/>
                <w:szCs w:val="20"/>
              </w:rPr>
            </w:pPr>
            <w:r w:rsidRPr="00321C0C">
              <w:rPr>
                <w:rFonts w:cstheme="minorHAnsi"/>
                <w:sz w:val="20"/>
                <w:szCs w:val="20"/>
              </w:rPr>
              <w:t>Celkem</w:t>
            </w: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8EB523" w14:textId="77777777" w:rsidR="00321C0C" w:rsidRPr="00321C0C" w:rsidRDefault="00321C0C" w:rsidP="00321C0C">
            <w:pPr>
              <w:jc w:val="both"/>
              <w:rPr>
                <w:rFonts w:cstheme="minorHAnsi"/>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C7C2C6"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81592"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B08025"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30D9E3"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23E07C"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67DB2C"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501700"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8F4A1F"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1B490C"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CE3DA1"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1F3562" w14:textId="77777777" w:rsidR="00321C0C" w:rsidRPr="00321C0C" w:rsidRDefault="00321C0C" w:rsidP="00321C0C">
            <w:pPr>
              <w:jc w:val="both"/>
              <w:rPr>
                <w:rFonts w:cstheme="minorHAnsi"/>
                <w:sz w:val="20"/>
                <w:szCs w:val="20"/>
              </w:rPr>
            </w:pPr>
          </w:p>
        </w:tc>
      </w:tr>
    </w:tbl>
    <w:p w14:paraId="4151FD7A" w14:textId="77777777" w:rsidR="00321C0C" w:rsidRPr="00321C0C" w:rsidRDefault="00321C0C" w:rsidP="00321C0C">
      <w:pPr>
        <w:ind w:right="-517"/>
        <w:contextualSpacing/>
        <w:jc w:val="both"/>
        <w:rPr>
          <w:rFonts w:cs="Times New Roman"/>
          <w:sz w:val="20"/>
          <w:szCs w:val="20"/>
          <w:lang w:val="cs-CZ"/>
        </w:rPr>
      </w:pPr>
    </w:p>
    <w:p w14:paraId="01760D1D" w14:textId="77777777" w:rsidR="00321C0C" w:rsidRPr="00321C0C" w:rsidRDefault="00321C0C" w:rsidP="00321C0C">
      <w:pPr>
        <w:ind w:right="-517"/>
        <w:contextualSpacing/>
        <w:jc w:val="both"/>
        <w:rPr>
          <w:rFonts w:cs="Times New Roman"/>
          <w:sz w:val="20"/>
          <w:szCs w:val="20"/>
          <w:lang w:val="cs-CZ"/>
        </w:rPr>
      </w:pPr>
      <w:r w:rsidRPr="00321C0C">
        <w:rPr>
          <w:rFonts w:cs="Times New Roman"/>
          <w:sz w:val="20"/>
          <w:szCs w:val="20"/>
          <w:lang w:val="cs-CZ"/>
        </w:rPr>
        <w:t>Pozn.: Uvede se celkový počet zaměstnanců/pracovníků k 31. 12. daného kalendářního roku bez ohledu na výši úvazku, ale pouze v pracovním poměru (bez zahrnutí osob pracujících na DPP a DPČ). Nezahrnují se jiné typy smluvních vztahů dle občanského zákoníku, které mají charakter nákupu služeb.</w:t>
      </w:r>
    </w:p>
    <w:p w14:paraId="28E1B235" w14:textId="77777777" w:rsidR="00321C0C" w:rsidRPr="00321C0C" w:rsidRDefault="00321C0C" w:rsidP="00321C0C">
      <w:pPr>
        <w:ind w:right="-517"/>
        <w:contextualSpacing/>
        <w:jc w:val="both"/>
        <w:rPr>
          <w:rFonts w:cs="Times New Roman"/>
          <w:sz w:val="20"/>
          <w:szCs w:val="20"/>
          <w:lang w:val="cs-CZ"/>
        </w:rPr>
      </w:pPr>
    </w:p>
    <w:p w14:paraId="757E5639" w14:textId="77777777" w:rsidR="00321C0C" w:rsidRPr="00321C0C" w:rsidRDefault="00321C0C" w:rsidP="00321C0C">
      <w:pPr>
        <w:ind w:right="-517"/>
        <w:contextualSpacing/>
        <w:jc w:val="both"/>
        <w:rPr>
          <w:rFonts w:cs="Times New Roman"/>
          <w:sz w:val="20"/>
          <w:szCs w:val="20"/>
          <w:lang w:val="cs-CZ"/>
        </w:rPr>
      </w:pPr>
      <w:r w:rsidRPr="00321C0C">
        <w:rPr>
          <w:rFonts w:cs="Times New Roman"/>
          <w:sz w:val="20"/>
          <w:szCs w:val="20"/>
          <w:lang w:val="cs-CZ"/>
        </w:rPr>
        <w:t>Pozn.: „</w:t>
      </w:r>
      <w:proofErr w:type="spellStart"/>
      <w:r w:rsidRPr="00321C0C">
        <w:rPr>
          <w:rFonts w:cs="Times New Roman"/>
          <w:sz w:val="20"/>
          <w:szCs w:val="20"/>
          <w:lang w:val="cs-CZ"/>
        </w:rPr>
        <w:t>Postdoktorandem</w:t>
      </w:r>
      <w:proofErr w:type="spellEnd"/>
      <w:r w:rsidRPr="00321C0C">
        <w:rPr>
          <w:rFonts w:cs="Times New Roman"/>
          <w:sz w:val="20"/>
          <w:szCs w:val="20"/>
          <w:lang w:val="cs-CZ"/>
        </w:rPr>
        <w:t>“ se rozumí pracovník dané výzkumné instituce nebo vysoké školy do pěti let po obhájení akademického titulu Ph.D. nebo jeho ekvivalentu. Pracuje jako součást vědeckého týmu dané instituce obvykle pod vedením zkušených vědeckých pracovníků na konkrétním úkolu a publikuje své výsledky samostatně i v rámci tvůrčího týmu. Má s výzkumnou institucí uzavřen pracovní poměr na dobu určitou (v trvání 1-3 let) na jedno, maximálně tři období po sobě. Jeho mzda podléhá pravidlům mzdového systému dané instituce, přičemž vedle toho může získat odměny v rámci výzkumných grantových projektů.</w:t>
      </w:r>
    </w:p>
    <w:p w14:paraId="0ABEAC2E" w14:textId="77777777" w:rsidR="00321C0C" w:rsidRPr="00321C0C" w:rsidRDefault="00321C0C" w:rsidP="002C3BE9">
      <w:pPr>
        <w:ind w:right="-517" w:firstLine="720"/>
        <w:contextualSpacing/>
        <w:jc w:val="both"/>
        <w:rPr>
          <w:rFonts w:cs="Times New Roman"/>
          <w:sz w:val="20"/>
          <w:szCs w:val="20"/>
          <w:lang w:val="cs-CZ"/>
        </w:rPr>
      </w:pPr>
      <w:r w:rsidRPr="00321C0C">
        <w:rPr>
          <w:rFonts w:cs="Times New Roman"/>
          <w:sz w:val="20"/>
          <w:szCs w:val="20"/>
          <w:lang w:val="cs-CZ"/>
        </w:rPr>
        <w:t>Kategorie „Ph.D. studenti“ se vykazuje jako počet studentů doktorského studia bez ohledu na to, zda dotyčný má úvazek či  nemá.</w:t>
      </w:r>
    </w:p>
    <w:p w14:paraId="0B6212CE" w14:textId="77777777" w:rsidR="002C3BE9" w:rsidRDefault="00321C0C" w:rsidP="002C3BE9">
      <w:pPr>
        <w:ind w:right="-517"/>
        <w:contextualSpacing/>
        <w:jc w:val="both"/>
        <w:rPr>
          <w:rFonts w:cs="Times New Roman"/>
          <w:sz w:val="20"/>
          <w:szCs w:val="20"/>
          <w:lang w:val="cs-CZ"/>
        </w:rPr>
      </w:pPr>
      <w:r w:rsidRPr="00321C0C">
        <w:rPr>
          <w:rFonts w:cs="Times New Roman"/>
          <w:sz w:val="20"/>
          <w:szCs w:val="20"/>
          <w:lang w:val="cs-CZ"/>
        </w:rPr>
        <w:t xml:space="preserve">              Kategorie „Ostatní vědečtí, výzkumní a vývojoví pracovníci“ zahrnuje technické a odborné pracovníky, kteří se přímo nepodílejí na VaVaI, ale jsou pro výzkumnou činnost nepostradatelní (např. obsluha </w:t>
      </w:r>
      <w:proofErr w:type="spellStart"/>
      <w:r w:rsidRPr="00321C0C">
        <w:rPr>
          <w:rFonts w:cs="Times New Roman"/>
          <w:sz w:val="20"/>
          <w:szCs w:val="20"/>
          <w:lang w:val="cs-CZ"/>
        </w:rPr>
        <w:t>research</w:t>
      </w:r>
      <w:proofErr w:type="spellEnd"/>
      <w:r w:rsidRPr="00321C0C">
        <w:rPr>
          <w:rFonts w:cs="Times New Roman"/>
          <w:sz w:val="20"/>
          <w:szCs w:val="20"/>
          <w:lang w:val="cs-CZ"/>
        </w:rPr>
        <w:t xml:space="preserve"> </w:t>
      </w:r>
      <w:proofErr w:type="spellStart"/>
      <w:r w:rsidRPr="00321C0C">
        <w:rPr>
          <w:rFonts w:cs="Times New Roman"/>
          <w:sz w:val="20"/>
          <w:szCs w:val="20"/>
          <w:lang w:val="cs-CZ"/>
        </w:rPr>
        <w:t>facility</w:t>
      </w:r>
      <w:proofErr w:type="spellEnd"/>
      <w:r w:rsidRPr="00321C0C">
        <w:rPr>
          <w:rFonts w:cs="Times New Roman"/>
          <w:sz w:val="20"/>
          <w:szCs w:val="20"/>
          <w:lang w:val="cs-CZ"/>
        </w:rPr>
        <w:t>).</w:t>
      </w:r>
    </w:p>
    <w:p w14:paraId="60511FAE" w14:textId="4C782933" w:rsidR="00321C0C" w:rsidRPr="00321C0C" w:rsidRDefault="00321C0C" w:rsidP="002C3BE9">
      <w:pPr>
        <w:ind w:right="-517" w:firstLine="720"/>
        <w:contextualSpacing/>
        <w:jc w:val="both"/>
        <w:rPr>
          <w:rFonts w:cs="Times New Roman"/>
          <w:sz w:val="20"/>
          <w:szCs w:val="20"/>
          <w:lang w:val="cs-CZ"/>
        </w:rPr>
      </w:pPr>
      <w:r w:rsidRPr="00321C0C">
        <w:rPr>
          <w:rFonts w:cs="Times New Roman"/>
          <w:sz w:val="20"/>
          <w:szCs w:val="20"/>
          <w:lang w:val="cs-CZ"/>
        </w:rPr>
        <w:t>Kategorie „Vědečtí pracovníci nespadající do ostatních kategorií“ zahrnuje všechny ostatní pracovníky, které nelze zařadit do žádné z uvedených kategorií (např. samostatný vědecký/výzkumný pracovník).</w:t>
      </w:r>
    </w:p>
    <w:p w14:paraId="23393F56" w14:textId="77777777" w:rsidR="00321C0C" w:rsidRPr="00321C0C" w:rsidRDefault="00321C0C" w:rsidP="00321C0C">
      <w:pPr>
        <w:ind w:right="-517"/>
        <w:contextualSpacing/>
        <w:jc w:val="both"/>
        <w:rPr>
          <w:rFonts w:cs="Times New Roman"/>
          <w:sz w:val="20"/>
          <w:szCs w:val="20"/>
          <w:lang w:val="cs-CZ"/>
        </w:rPr>
      </w:pPr>
    </w:p>
    <w:p w14:paraId="663F9A03" w14:textId="77777777" w:rsidR="00321C0C" w:rsidRPr="00321C0C" w:rsidRDefault="00321C0C" w:rsidP="00321C0C">
      <w:pPr>
        <w:ind w:right="-517"/>
        <w:contextualSpacing/>
        <w:jc w:val="both"/>
        <w:rPr>
          <w:rFonts w:cs="Times New Roman"/>
          <w:sz w:val="20"/>
          <w:szCs w:val="20"/>
          <w:lang w:val="cs-CZ"/>
        </w:rPr>
      </w:pPr>
    </w:p>
    <w:p w14:paraId="6CA56395" w14:textId="168C9F78" w:rsidR="00321C0C" w:rsidRPr="00321C0C" w:rsidRDefault="00321C0C" w:rsidP="00321C0C">
      <w:pPr>
        <w:contextualSpacing/>
        <w:jc w:val="both"/>
        <w:rPr>
          <w:rFonts w:cs="Times New Roman"/>
          <w:sz w:val="22"/>
          <w:szCs w:val="22"/>
          <w:lang w:val="cs-CZ"/>
        </w:rPr>
      </w:pPr>
      <w:r w:rsidRPr="00321C0C">
        <w:rPr>
          <w:rFonts w:cs="Times New Roman"/>
          <w:sz w:val="22"/>
          <w:szCs w:val="22"/>
          <w:lang w:val="cs-CZ"/>
        </w:rPr>
        <w:t xml:space="preserve"> </w:t>
      </w:r>
    </w:p>
    <w:p w14:paraId="1FEA4DF5" w14:textId="77777777" w:rsidR="00321C0C" w:rsidRPr="00321C0C" w:rsidRDefault="00321C0C" w:rsidP="00321C0C">
      <w:pPr>
        <w:contextualSpacing/>
        <w:jc w:val="both"/>
        <w:rPr>
          <w:rFonts w:cs="Times New Roman"/>
          <w:sz w:val="22"/>
          <w:szCs w:val="22"/>
          <w:lang w:val="cs-CZ"/>
        </w:rPr>
      </w:pPr>
      <w:bookmarkStart w:id="21" w:name="_Hlk11334097"/>
      <w:r w:rsidRPr="00321C0C">
        <w:rPr>
          <w:rFonts w:cs="Times New Roman"/>
          <w:sz w:val="22"/>
          <w:szCs w:val="22"/>
          <w:lang w:val="cs-CZ"/>
        </w:rPr>
        <w:lastRenderedPageBreak/>
        <w:t>4.1.2 Struktura pracovníků, kteří se podílejí na VaVaI vysoké školy (průměrné přepočtené počty)</w:t>
      </w:r>
    </w:p>
    <w:p w14:paraId="7ABD692C" w14:textId="77777777" w:rsidR="00321C0C" w:rsidRPr="00321C0C" w:rsidRDefault="00321C0C" w:rsidP="00321C0C">
      <w:pPr>
        <w:contextualSpacing/>
        <w:jc w:val="both"/>
        <w:rPr>
          <w:rFonts w:cs="Times New Roman"/>
          <w:sz w:val="22"/>
          <w:szCs w:val="22"/>
          <w:u w:val="single"/>
          <w:lang w:val="cs-CZ"/>
        </w:rPr>
      </w:pPr>
    </w:p>
    <w:tbl>
      <w:tblPr>
        <w:tblStyle w:val="Mkatabulky2"/>
        <w:tblW w:w="10773" w:type="dxa"/>
        <w:jc w:val="center"/>
        <w:tblLook w:val="04A0" w:firstRow="1" w:lastRow="0" w:firstColumn="1" w:lastColumn="0" w:noHBand="0" w:noVBand="1"/>
      </w:tblPr>
      <w:tblGrid>
        <w:gridCol w:w="2217"/>
        <w:gridCol w:w="679"/>
        <w:gridCol w:w="679"/>
        <w:gridCol w:w="680"/>
        <w:gridCol w:w="680"/>
        <w:gridCol w:w="680"/>
        <w:gridCol w:w="879"/>
        <w:gridCol w:w="680"/>
        <w:gridCol w:w="680"/>
        <w:gridCol w:w="680"/>
        <w:gridCol w:w="680"/>
        <w:gridCol w:w="680"/>
        <w:gridCol w:w="879"/>
      </w:tblGrid>
      <w:tr w:rsidR="00321C0C" w:rsidRPr="00321C0C" w14:paraId="1125C6F2" w14:textId="77777777" w:rsidTr="0096628E">
        <w:trPr>
          <w:jc w:val="center"/>
        </w:trPr>
        <w:tc>
          <w:tcPr>
            <w:tcW w:w="221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8AD87" w14:textId="77777777" w:rsidR="00321C0C" w:rsidRPr="00321C0C" w:rsidRDefault="00321C0C" w:rsidP="00321C0C">
            <w:pPr>
              <w:jc w:val="both"/>
              <w:rPr>
                <w:rFonts w:cstheme="minorHAnsi"/>
                <w:sz w:val="20"/>
                <w:szCs w:val="20"/>
              </w:rPr>
            </w:pPr>
            <w:r w:rsidRPr="00321C0C">
              <w:rPr>
                <w:rFonts w:cstheme="minorHAnsi"/>
                <w:sz w:val="20"/>
                <w:szCs w:val="20"/>
              </w:rPr>
              <w:t>Akademická/odborná pozice/rok</w:t>
            </w:r>
          </w:p>
        </w:tc>
        <w:tc>
          <w:tcPr>
            <w:tcW w:w="427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A5E749" w14:textId="77777777" w:rsidR="00321C0C" w:rsidRPr="00321C0C" w:rsidRDefault="00321C0C" w:rsidP="00321C0C">
            <w:pPr>
              <w:jc w:val="both"/>
              <w:rPr>
                <w:rFonts w:cstheme="minorHAnsi"/>
                <w:sz w:val="20"/>
                <w:szCs w:val="20"/>
              </w:rPr>
            </w:pPr>
            <w:r w:rsidRPr="00321C0C">
              <w:rPr>
                <w:rFonts w:cstheme="minorHAnsi"/>
                <w:sz w:val="20"/>
                <w:szCs w:val="20"/>
              </w:rPr>
              <w:t>Celkem</w:t>
            </w:r>
          </w:p>
        </w:tc>
        <w:tc>
          <w:tcPr>
            <w:tcW w:w="427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A6D427" w14:textId="77777777" w:rsidR="00321C0C" w:rsidRPr="00321C0C" w:rsidRDefault="00321C0C" w:rsidP="00321C0C">
            <w:pPr>
              <w:jc w:val="both"/>
              <w:rPr>
                <w:rFonts w:cstheme="minorHAnsi"/>
                <w:sz w:val="20"/>
                <w:szCs w:val="20"/>
              </w:rPr>
            </w:pPr>
            <w:r w:rsidRPr="00321C0C">
              <w:rPr>
                <w:rFonts w:cstheme="minorHAnsi"/>
                <w:sz w:val="20"/>
                <w:szCs w:val="20"/>
              </w:rPr>
              <w:t>Z toho ženy</w:t>
            </w:r>
          </w:p>
        </w:tc>
      </w:tr>
      <w:tr w:rsidR="00321C0C" w:rsidRPr="00321C0C" w14:paraId="372EEEF5" w14:textId="77777777" w:rsidTr="0096628E">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4DDF3E" w14:textId="77777777" w:rsidR="00321C0C" w:rsidRPr="00321C0C" w:rsidRDefault="00321C0C" w:rsidP="00321C0C">
            <w:pPr>
              <w:jc w:val="both"/>
              <w:rPr>
                <w:rFonts w:cstheme="minorHAnsi"/>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7A499B" w14:textId="77777777" w:rsidR="00321C0C" w:rsidRPr="00321C0C" w:rsidRDefault="00321C0C" w:rsidP="00321C0C">
            <w:pPr>
              <w:jc w:val="both"/>
              <w:rPr>
                <w:rFonts w:cstheme="minorHAnsi"/>
                <w:sz w:val="20"/>
                <w:szCs w:val="20"/>
              </w:rPr>
            </w:pPr>
            <w:r w:rsidRPr="00321C0C">
              <w:rPr>
                <w:rFonts w:cstheme="minorHAnsi"/>
                <w:sz w:val="20"/>
                <w:szCs w:val="20"/>
              </w:rPr>
              <w:t>2014</w:t>
            </w: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66915C" w14:textId="77777777" w:rsidR="00321C0C" w:rsidRPr="00321C0C" w:rsidRDefault="00321C0C" w:rsidP="00321C0C">
            <w:pPr>
              <w:jc w:val="both"/>
              <w:rPr>
                <w:rFonts w:cstheme="minorHAnsi"/>
                <w:sz w:val="20"/>
                <w:szCs w:val="20"/>
              </w:rPr>
            </w:pPr>
            <w:r w:rsidRPr="00321C0C">
              <w:rPr>
                <w:rFonts w:cstheme="minorHAnsi"/>
                <w:sz w:val="20"/>
                <w:szCs w:val="20"/>
              </w:rPr>
              <w:t>2015</w:t>
            </w: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E325EE" w14:textId="77777777" w:rsidR="00321C0C" w:rsidRPr="00321C0C" w:rsidRDefault="00321C0C" w:rsidP="00321C0C">
            <w:pPr>
              <w:jc w:val="both"/>
              <w:rPr>
                <w:rFonts w:cstheme="minorHAnsi"/>
                <w:sz w:val="20"/>
                <w:szCs w:val="20"/>
              </w:rPr>
            </w:pPr>
            <w:r w:rsidRPr="00321C0C">
              <w:rPr>
                <w:rFonts w:cstheme="minorHAnsi"/>
                <w:sz w:val="20"/>
                <w:szCs w:val="20"/>
              </w:rPr>
              <w:t>2016</w:t>
            </w: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32D515" w14:textId="77777777" w:rsidR="00321C0C" w:rsidRPr="00321C0C" w:rsidRDefault="00321C0C" w:rsidP="00321C0C">
            <w:pPr>
              <w:jc w:val="both"/>
              <w:rPr>
                <w:rFonts w:cstheme="minorHAnsi"/>
                <w:sz w:val="20"/>
                <w:szCs w:val="20"/>
              </w:rPr>
            </w:pPr>
            <w:r w:rsidRPr="00321C0C">
              <w:rPr>
                <w:rFonts w:cstheme="minorHAnsi"/>
                <w:sz w:val="20"/>
                <w:szCs w:val="20"/>
              </w:rPr>
              <w:t>2017</w:t>
            </w: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255442" w14:textId="77777777" w:rsidR="00321C0C" w:rsidRPr="00321C0C" w:rsidRDefault="00321C0C" w:rsidP="00321C0C">
            <w:pPr>
              <w:jc w:val="both"/>
              <w:rPr>
                <w:rFonts w:cstheme="minorHAnsi"/>
                <w:sz w:val="20"/>
                <w:szCs w:val="20"/>
              </w:rPr>
            </w:pPr>
            <w:r w:rsidRPr="00321C0C">
              <w:rPr>
                <w:rFonts w:cstheme="minorHAnsi"/>
                <w:sz w:val="20"/>
                <w:szCs w:val="20"/>
              </w:rPr>
              <w:t>2018</w:t>
            </w: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1E2258" w14:textId="77777777" w:rsidR="00321C0C" w:rsidRPr="00321C0C" w:rsidRDefault="00321C0C" w:rsidP="00321C0C">
            <w:pPr>
              <w:jc w:val="both"/>
              <w:rPr>
                <w:rFonts w:cstheme="minorHAnsi"/>
                <w:sz w:val="20"/>
                <w:szCs w:val="20"/>
              </w:rPr>
            </w:pPr>
            <w:r w:rsidRPr="00321C0C">
              <w:rPr>
                <w:rFonts w:cstheme="minorHAnsi"/>
                <w:sz w:val="20"/>
                <w:szCs w:val="20"/>
              </w:rPr>
              <w:t>celkem</w:t>
            </w: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1876EA" w14:textId="77777777" w:rsidR="00321C0C" w:rsidRPr="00321C0C" w:rsidRDefault="00321C0C" w:rsidP="00321C0C">
            <w:pPr>
              <w:jc w:val="both"/>
              <w:rPr>
                <w:rFonts w:cstheme="minorHAnsi"/>
                <w:sz w:val="20"/>
                <w:szCs w:val="20"/>
              </w:rPr>
            </w:pPr>
            <w:r w:rsidRPr="00321C0C">
              <w:rPr>
                <w:rFonts w:cstheme="minorHAnsi"/>
                <w:sz w:val="20"/>
                <w:szCs w:val="20"/>
              </w:rPr>
              <w:t>2014</w:t>
            </w: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6CD0A" w14:textId="77777777" w:rsidR="00321C0C" w:rsidRPr="00321C0C" w:rsidRDefault="00321C0C" w:rsidP="00321C0C">
            <w:pPr>
              <w:jc w:val="both"/>
              <w:rPr>
                <w:rFonts w:cstheme="minorHAnsi"/>
                <w:sz w:val="20"/>
                <w:szCs w:val="20"/>
              </w:rPr>
            </w:pPr>
            <w:r w:rsidRPr="00321C0C">
              <w:rPr>
                <w:rFonts w:cstheme="minorHAnsi"/>
                <w:sz w:val="20"/>
                <w:szCs w:val="20"/>
              </w:rPr>
              <w:t>2015</w:t>
            </w: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44F742" w14:textId="77777777" w:rsidR="00321C0C" w:rsidRPr="00321C0C" w:rsidRDefault="00321C0C" w:rsidP="00321C0C">
            <w:pPr>
              <w:jc w:val="both"/>
              <w:rPr>
                <w:rFonts w:cstheme="minorHAnsi"/>
                <w:sz w:val="20"/>
                <w:szCs w:val="20"/>
              </w:rPr>
            </w:pPr>
            <w:r w:rsidRPr="00321C0C">
              <w:rPr>
                <w:rFonts w:cstheme="minorHAnsi"/>
                <w:sz w:val="20"/>
                <w:szCs w:val="20"/>
              </w:rPr>
              <w:t>2016</w:t>
            </w: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CE9E48" w14:textId="77777777" w:rsidR="00321C0C" w:rsidRPr="00321C0C" w:rsidRDefault="00321C0C" w:rsidP="00321C0C">
            <w:pPr>
              <w:jc w:val="both"/>
              <w:rPr>
                <w:rFonts w:cstheme="minorHAnsi"/>
                <w:sz w:val="20"/>
                <w:szCs w:val="20"/>
              </w:rPr>
            </w:pPr>
            <w:r w:rsidRPr="00321C0C">
              <w:rPr>
                <w:rFonts w:cstheme="minorHAnsi"/>
                <w:sz w:val="20"/>
                <w:szCs w:val="20"/>
              </w:rPr>
              <w:t>2017</w:t>
            </w: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9AFB02" w14:textId="77777777" w:rsidR="00321C0C" w:rsidRPr="00321C0C" w:rsidRDefault="00321C0C" w:rsidP="00321C0C">
            <w:pPr>
              <w:jc w:val="both"/>
              <w:rPr>
                <w:rFonts w:cstheme="minorHAnsi"/>
                <w:sz w:val="20"/>
                <w:szCs w:val="20"/>
              </w:rPr>
            </w:pPr>
            <w:r w:rsidRPr="00321C0C">
              <w:rPr>
                <w:rFonts w:cstheme="minorHAnsi"/>
                <w:sz w:val="20"/>
                <w:szCs w:val="20"/>
              </w:rPr>
              <w:t>2018</w:t>
            </w: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C672D" w14:textId="77777777" w:rsidR="00321C0C" w:rsidRPr="00321C0C" w:rsidRDefault="00321C0C" w:rsidP="00321C0C">
            <w:pPr>
              <w:jc w:val="both"/>
              <w:rPr>
                <w:rFonts w:cstheme="minorHAnsi"/>
                <w:sz w:val="20"/>
                <w:szCs w:val="20"/>
              </w:rPr>
            </w:pPr>
            <w:r w:rsidRPr="00321C0C">
              <w:rPr>
                <w:rFonts w:cstheme="minorHAnsi"/>
                <w:sz w:val="20"/>
                <w:szCs w:val="20"/>
              </w:rPr>
              <w:t>celkem</w:t>
            </w:r>
          </w:p>
        </w:tc>
      </w:tr>
      <w:tr w:rsidR="00321C0C" w:rsidRPr="00321C0C" w14:paraId="0BB4E411" w14:textId="77777777" w:rsidTr="0096628E">
        <w:trPr>
          <w:jc w:val="center"/>
        </w:trPr>
        <w:tc>
          <w:tcPr>
            <w:tcW w:w="2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91FD08" w14:textId="77777777" w:rsidR="00321C0C" w:rsidRPr="00321C0C" w:rsidRDefault="00321C0C" w:rsidP="00321C0C">
            <w:pPr>
              <w:jc w:val="both"/>
              <w:rPr>
                <w:rFonts w:cstheme="minorHAnsi"/>
                <w:sz w:val="20"/>
                <w:szCs w:val="20"/>
              </w:rPr>
            </w:pPr>
            <w:r w:rsidRPr="00321C0C">
              <w:rPr>
                <w:rFonts w:cstheme="minorHAnsi"/>
                <w:sz w:val="20"/>
                <w:szCs w:val="20"/>
              </w:rPr>
              <w:t>Profesoři</w:t>
            </w: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A4CF15" w14:textId="77777777" w:rsidR="00321C0C" w:rsidRPr="00321C0C" w:rsidRDefault="00321C0C" w:rsidP="00321C0C">
            <w:pPr>
              <w:jc w:val="both"/>
              <w:rPr>
                <w:rFonts w:cstheme="minorHAnsi"/>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934CB"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5B1342"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FE97B3"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0EAE3A"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3EDF2F"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4C813"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7C24A5"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96A871"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C8F826"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E4C8CF"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8828B" w14:textId="77777777" w:rsidR="00321C0C" w:rsidRPr="00321C0C" w:rsidRDefault="00321C0C" w:rsidP="00321C0C">
            <w:pPr>
              <w:jc w:val="both"/>
              <w:rPr>
                <w:rFonts w:cstheme="minorHAnsi"/>
                <w:sz w:val="20"/>
                <w:szCs w:val="20"/>
              </w:rPr>
            </w:pPr>
          </w:p>
        </w:tc>
      </w:tr>
      <w:tr w:rsidR="00321C0C" w:rsidRPr="00321C0C" w14:paraId="28AA5E14" w14:textId="77777777" w:rsidTr="0096628E">
        <w:trPr>
          <w:jc w:val="center"/>
        </w:trPr>
        <w:tc>
          <w:tcPr>
            <w:tcW w:w="2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9E2449" w14:textId="77777777" w:rsidR="00321C0C" w:rsidRPr="00321C0C" w:rsidRDefault="00321C0C" w:rsidP="00321C0C">
            <w:pPr>
              <w:jc w:val="both"/>
              <w:rPr>
                <w:rFonts w:cstheme="minorHAnsi"/>
                <w:sz w:val="20"/>
                <w:szCs w:val="20"/>
              </w:rPr>
            </w:pPr>
            <w:r w:rsidRPr="00321C0C">
              <w:rPr>
                <w:rFonts w:cstheme="minorHAnsi"/>
                <w:sz w:val="20"/>
                <w:szCs w:val="20"/>
              </w:rPr>
              <w:t>Docenti</w:t>
            </w: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E2E2A2" w14:textId="77777777" w:rsidR="00321C0C" w:rsidRPr="00321C0C" w:rsidRDefault="00321C0C" w:rsidP="00321C0C">
            <w:pPr>
              <w:jc w:val="both"/>
              <w:rPr>
                <w:rFonts w:cstheme="minorHAnsi"/>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1D19B9"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70A2E0"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254EF5"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52CFD8"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C45D8"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104809"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A84F92"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0166C3"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D00EB2"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D0A3EC"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2D65E2" w14:textId="77777777" w:rsidR="00321C0C" w:rsidRPr="00321C0C" w:rsidRDefault="00321C0C" w:rsidP="00321C0C">
            <w:pPr>
              <w:jc w:val="both"/>
              <w:rPr>
                <w:rFonts w:cstheme="minorHAnsi"/>
                <w:sz w:val="20"/>
                <w:szCs w:val="20"/>
              </w:rPr>
            </w:pPr>
          </w:p>
        </w:tc>
      </w:tr>
      <w:tr w:rsidR="00321C0C" w:rsidRPr="00321C0C" w14:paraId="11BC2788" w14:textId="77777777" w:rsidTr="0096628E">
        <w:trPr>
          <w:jc w:val="center"/>
        </w:trPr>
        <w:tc>
          <w:tcPr>
            <w:tcW w:w="2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E7E9FA" w14:textId="77777777" w:rsidR="00321C0C" w:rsidRPr="00321C0C" w:rsidRDefault="00321C0C" w:rsidP="00321C0C">
            <w:pPr>
              <w:jc w:val="both"/>
              <w:rPr>
                <w:rFonts w:cstheme="minorHAnsi"/>
                <w:sz w:val="20"/>
                <w:szCs w:val="20"/>
              </w:rPr>
            </w:pPr>
            <w:r w:rsidRPr="00321C0C">
              <w:rPr>
                <w:rFonts w:cstheme="minorHAnsi"/>
                <w:sz w:val="20"/>
                <w:szCs w:val="20"/>
              </w:rPr>
              <w:t>Odborní asistenti</w:t>
            </w: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07E4F4" w14:textId="77777777" w:rsidR="00321C0C" w:rsidRPr="00321C0C" w:rsidRDefault="00321C0C" w:rsidP="00321C0C">
            <w:pPr>
              <w:jc w:val="both"/>
              <w:rPr>
                <w:rFonts w:cstheme="minorHAnsi"/>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E722E8"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32F5F2"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1232B0"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2F4162"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EC3653"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ECF362"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1B94A"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6E18B0"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B5D262"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54C727"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68FCEE" w14:textId="77777777" w:rsidR="00321C0C" w:rsidRPr="00321C0C" w:rsidRDefault="00321C0C" w:rsidP="00321C0C">
            <w:pPr>
              <w:jc w:val="both"/>
              <w:rPr>
                <w:rFonts w:cstheme="minorHAnsi"/>
                <w:sz w:val="20"/>
                <w:szCs w:val="20"/>
              </w:rPr>
            </w:pPr>
          </w:p>
        </w:tc>
      </w:tr>
      <w:tr w:rsidR="00321C0C" w:rsidRPr="00321C0C" w14:paraId="172EA901" w14:textId="77777777" w:rsidTr="0096628E">
        <w:trPr>
          <w:jc w:val="center"/>
        </w:trPr>
        <w:tc>
          <w:tcPr>
            <w:tcW w:w="2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4543A0" w14:textId="77777777" w:rsidR="00321C0C" w:rsidRPr="00321C0C" w:rsidRDefault="00321C0C" w:rsidP="00321C0C">
            <w:pPr>
              <w:jc w:val="both"/>
              <w:rPr>
                <w:rFonts w:cstheme="minorHAnsi"/>
                <w:sz w:val="20"/>
                <w:szCs w:val="20"/>
              </w:rPr>
            </w:pPr>
            <w:r w:rsidRPr="00321C0C">
              <w:rPr>
                <w:rFonts w:cstheme="minorHAnsi"/>
                <w:sz w:val="20"/>
                <w:szCs w:val="20"/>
              </w:rPr>
              <w:t>Asistenti</w:t>
            </w: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404C4E" w14:textId="77777777" w:rsidR="00321C0C" w:rsidRPr="00321C0C" w:rsidRDefault="00321C0C" w:rsidP="00321C0C">
            <w:pPr>
              <w:jc w:val="both"/>
              <w:rPr>
                <w:rFonts w:cstheme="minorHAnsi"/>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BC3DDB"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9DB527"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B74A8"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F7228D"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F56D0A"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64EF1B"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358374"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00A5CB"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E566D6"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716F5"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28681B" w14:textId="77777777" w:rsidR="00321C0C" w:rsidRPr="00321C0C" w:rsidRDefault="00321C0C" w:rsidP="00321C0C">
            <w:pPr>
              <w:jc w:val="both"/>
              <w:rPr>
                <w:rFonts w:cstheme="minorHAnsi"/>
                <w:sz w:val="20"/>
                <w:szCs w:val="20"/>
              </w:rPr>
            </w:pPr>
          </w:p>
        </w:tc>
      </w:tr>
      <w:tr w:rsidR="00321C0C" w:rsidRPr="00321C0C" w14:paraId="3573A955" w14:textId="77777777" w:rsidTr="0096628E">
        <w:trPr>
          <w:jc w:val="center"/>
        </w:trPr>
        <w:tc>
          <w:tcPr>
            <w:tcW w:w="2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1652FE" w14:textId="77777777" w:rsidR="00321C0C" w:rsidRPr="00321C0C" w:rsidRDefault="00321C0C" w:rsidP="00321C0C">
            <w:pPr>
              <w:jc w:val="both"/>
              <w:rPr>
                <w:rFonts w:cstheme="minorHAnsi"/>
                <w:sz w:val="20"/>
                <w:szCs w:val="20"/>
              </w:rPr>
            </w:pPr>
            <w:r w:rsidRPr="00321C0C">
              <w:rPr>
                <w:rFonts w:cstheme="minorHAnsi"/>
                <w:sz w:val="20"/>
                <w:szCs w:val="20"/>
              </w:rPr>
              <w:t>Vědečtí, výzkumní a vývojoví pracovníci podílející se na pedagogické činnosti</w:t>
            </w: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7ACCFE" w14:textId="77777777" w:rsidR="00321C0C" w:rsidRPr="00321C0C" w:rsidRDefault="00321C0C" w:rsidP="00321C0C">
            <w:pPr>
              <w:jc w:val="both"/>
              <w:rPr>
                <w:rFonts w:cstheme="minorHAnsi"/>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16E358"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1C9437"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6ED561"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FCA416"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2F9C28"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86A544"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7EE969"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CD3477"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629278"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99EC3F"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0900E2" w14:textId="77777777" w:rsidR="00321C0C" w:rsidRPr="00321C0C" w:rsidRDefault="00321C0C" w:rsidP="00321C0C">
            <w:pPr>
              <w:jc w:val="both"/>
              <w:rPr>
                <w:rFonts w:cstheme="minorHAnsi"/>
                <w:sz w:val="20"/>
                <w:szCs w:val="20"/>
              </w:rPr>
            </w:pPr>
          </w:p>
        </w:tc>
      </w:tr>
      <w:tr w:rsidR="00321C0C" w:rsidRPr="00321C0C" w14:paraId="3F6B7B06" w14:textId="77777777" w:rsidTr="0096628E">
        <w:trPr>
          <w:jc w:val="center"/>
        </w:trPr>
        <w:tc>
          <w:tcPr>
            <w:tcW w:w="2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33E371" w14:textId="77777777" w:rsidR="00321C0C" w:rsidRPr="00321C0C" w:rsidRDefault="00321C0C" w:rsidP="00321C0C">
            <w:pPr>
              <w:jc w:val="both"/>
              <w:rPr>
                <w:rFonts w:cstheme="minorHAnsi"/>
                <w:sz w:val="20"/>
                <w:szCs w:val="20"/>
              </w:rPr>
            </w:pPr>
            <w:proofErr w:type="spellStart"/>
            <w:r w:rsidRPr="00321C0C">
              <w:rPr>
                <w:rFonts w:cstheme="minorHAnsi"/>
                <w:sz w:val="20"/>
                <w:szCs w:val="20"/>
              </w:rPr>
              <w:t>Postdoktorandi</w:t>
            </w:r>
            <w:proofErr w:type="spellEnd"/>
            <w:r w:rsidRPr="00321C0C">
              <w:rPr>
                <w:rFonts w:cstheme="minorHAnsi"/>
                <w:sz w:val="20"/>
                <w:szCs w:val="20"/>
              </w:rPr>
              <w:t xml:space="preserve"> („</w:t>
            </w:r>
            <w:proofErr w:type="spellStart"/>
            <w:r w:rsidRPr="00321C0C">
              <w:rPr>
                <w:rFonts w:cstheme="minorHAnsi"/>
                <w:sz w:val="20"/>
                <w:szCs w:val="20"/>
              </w:rPr>
              <w:t>postdok</w:t>
            </w:r>
            <w:proofErr w:type="spellEnd"/>
            <w:r w:rsidRPr="00321C0C">
              <w:rPr>
                <w:rFonts w:cstheme="minorHAnsi"/>
                <w:sz w:val="20"/>
                <w:szCs w:val="20"/>
              </w:rPr>
              <w:t>“)</w:t>
            </w: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A93D6B" w14:textId="77777777" w:rsidR="00321C0C" w:rsidRPr="00321C0C" w:rsidRDefault="00321C0C" w:rsidP="00321C0C">
            <w:pPr>
              <w:jc w:val="both"/>
              <w:rPr>
                <w:rFonts w:cstheme="minorHAnsi"/>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A603C5"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EB647F"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B445C"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A70A9"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C0EB2B"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0AC06A"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847CA6"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AEB37D"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288B51"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757227"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A8FFD6" w14:textId="77777777" w:rsidR="00321C0C" w:rsidRPr="00321C0C" w:rsidRDefault="00321C0C" w:rsidP="00321C0C">
            <w:pPr>
              <w:jc w:val="both"/>
              <w:rPr>
                <w:rFonts w:cstheme="minorHAnsi"/>
                <w:sz w:val="20"/>
                <w:szCs w:val="20"/>
              </w:rPr>
            </w:pPr>
          </w:p>
        </w:tc>
      </w:tr>
      <w:tr w:rsidR="00321C0C" w:rsidRPr="00321C0C" w14:paraId="1CC312B9" w14:textId="77777777" w:rsidTr="0096628E">
        <w:trPr>
          <w:jc w:val="center"/>
        </w:trPr>
        <w:tc>
          <w:tcPr>
            <w:tcW w:w="2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5B7D8F" w14:textId="77777777" w:rsidR="00321C0C" w:rsidRPr="00321C0C" w:rsidRDefault="00321C0C" w:rsidP="00321C0C">
            <w:pPr>
              <w:jc w:val="both"/>
              <w:rPr>
                <w:rFonts w:cstheme="minorHAnsi"/>
                <w:sz w:val="20"/>
                <w:szCs w:val="20"/>
              </w:rPr>
            </w:pPr>
            <w:r w:rsidRPr="00321C0C">
              <w:rPr>
                <w:rFonts w:cstheme="minorHAnsi"/>
                <w:sz w:val="20"/>
                <w:szCs w:val="20"/>
              </w:rPr>
              <w:t>Ph.D. studenti</w:t>
            </w: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EC8B66" w14:textId="77777777" w:rsidR="00321C0C" w:rsidRPr="00321C0C" w:rsidRDefault="00321C0C" w:rsidP="00321C0C">
            <w:pPr>
              <w:jc w:val="both"/>
              <w:rPr>
                <w:rFonts w:cstheme="minorHAnsi"/>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ACA797"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A6160A"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A82A5D"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6E1C7D"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47993C"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CE8AFB"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B6A683"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EB593"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2894E8"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E54D37"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01503" w14:textId="77777777" w:rsidR="00321C0C" w:rsidRPr="00321C0C" w:rsidRDefault="00321C0C" w:rsidP="00321C0C">
            <w:pPr>
              <w:jc w:val="both"/>
              <w:rPr>
                <w:rFonts w:cstheme="minorHAnsi"/>
                <w:sz w:val="20"/>
                <w:szCs w:val="20"/>
              </w:rPr>
            </w:pPr>
          </w:p>
        </w:tc>
      </w:tr>
      <w:tr w:rsidR="00321C0C" w:rsidRPr="00321C0C" w14:paraId="0C6A61FE" w14:textId="77777777" w:rsidTr="0096628E">
        <w:trPr>
          <w:jc w:val="center"/>
        </w:trPr>
        <w:tc>
          <w:tcPr>
            <w:tcW w:w="2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B1F5CA" w14:textId="77777777" w:rsidR="00321C0C" w:rsidRPr="00321C0C" w:rsidRDefault="00321C0C" w:rsidP="00321C0C">
            <w:pPr>
              <w:jc w:val="both"/>
              <w:rPr>
                <w:rFonts w:cstheme="minorHAnsi"/>
                <w:sz w:val="20"/>
                <w:szCs w:val="20"/>
              </w:rPr>
            </w:pPr>
            <w:r w:rsidRPr="00321C0C">
              <w:rPr>
                <w:rFonts w:cstheme="minorHAnsi"/>
                <w:sz w:val="20"/>
                <w:szCs w:val="20"/>
              </w:rPr>
              <w:t>Ostatní vědečtí, výzkumní a vývojoví pracovníci</w:t>
            </w: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2EEACD" w14:textId="77777777" w:rsidR="00321C0C" w:rsidRPr="00321C0C" w:rsidRDefault="00321C0C" w:rsidP="00321C0C">
            <w:pPr>
              <w:jc w:val="both"/>
              <w:rPr>
                <w:rFonts w:cstheme="minorHAnsi"/>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27898"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091995"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2745D1"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AE30D9"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4F170"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FF3239"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369B10"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76CEE"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4AE88A"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C7B632"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5819D" w14:textId="77777777" w:rsidR="00321C0C" w:rsidRPr="00321C0C" w:rsidRDefault="00321C0C" w:rsidP="00321C0C">
            <w:pPr>
              <w:jc w:val="both"/>
              <w:rPr>
                <w:rFonts w:cstheme="minorHAnsi"/>
                <w:sz w:val="20"/>
                <w:szCs w:val="20"/>
              </w:rPr>
            </w:pPr>
          </w:p>
        </w:tc>
      </w:tr>
      <w:tr w:rsidR="00321C0C" w:rsidRPr="00321C0C" w14:paraId="4382FA75" w14:textId="77777777" w:rsidTr="0096628E">
        <w:trPr>
          <w:jc w:val="center"/>
        </w:trPr>
        <w:tc>
          <w:tcPr>
            <w:tcW w:w="2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3E0DC9" w14:textId="77777777" w:rsidR="00321C0C" w:rsidRPr="00321C0C" w:rsidRDefault="00321C0C" w:rsidP="00321C0C">
            <w:pPr>
              <w:jc w:val="both"/>
              <w:rPr>
                <w:rFonts w:cstheme="minorHAnsi"/>
                <w:sz w:val="20"/>
                <w:szCs w:val="20"/>
              </w:rPr>
            </w:pPr>
            <w:r w:rsidRPr="00321C0C">
              <w:rPr>
                <w:rFonts w:cstheme="minorHAnsi"/>
                <w:sz w:val="20"/>
                <w:szCs w:val="20"/>
              </w:rPr>
              <w:t>Vědečtí pracovníci nespadající do ostatních kategorií</w:t>
            </w: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A3C0EC" w14:textId="77777777" w:rsidR="00321C0C" w:rsidRPr="00321C0C" w:rsidRDefault="00321C0C" w:rsidP="00321C0C">
            <w:pPr>
              <w:jc w:val="both"/>
              <w:rPr>
                <w:rFonts w:cstheme="minorHAnsi"/>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2CDC9A"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17C2A2"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928DA8"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12079"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57B5DF"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E905C7"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8F6DFF"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BAD26"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AE58A8"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8BF44E"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2834EC" w14:textId="77777777" w:rsidR="00321C0C" w:rsidRPr="00321C0C" w:rsidRDefault="00321C0C" w:rsidP="00321C0C">
            <w:pPr>
              <w:jc w:val="both"/>
              <w:rPr>
                <w:rFonts w:cstheme="minorHAnsi"/>
                <w:sz w:val="20"/>
                <w:szCs w:val="20"/>
              </w:rPr>
            </w:pPr>
          </w:p>
        </w:tc>
      </w:tr>
      <w:tr w:rsidR="00321C0C" w:rsidRPr="00321C0C" w14:paraId="4E7AE0F8" w14:textId="77777777" w:rsidTr="0096628E">
        <w:trPr>
          <w:jc w:val="center"/>
        </w:trPr>
        <w:tc>
          <w:tcPr>
            <w:tcW w:w="2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CF213D" w14:textId="77777777" w:rsidR="00321C0C" w:rsidRPr="00321C0C" w:rsidRDefault="00321C0C" w:rsidP="00321C0C">
            <w:pPr>
              <w:jc w:val="both"/>
              <w:rPr>
                <w:rFonts w:cstheme="minorHAnsi"/>
                <w:sz w:val="20"/>
                <w:szCs w:val="20"/>
              </w:rPr>
            </w:pPr>
            <w:r w:rsidRPr="00321C0C">
              <w:rPr>
                <w:rFonts w:cstheme="minorHAnsi"/>
                <w:sz w:val="20"/>
                <w:szCs w:val="20"/>
              </w:rPr>
              <w:t>Celkem</w:t>
            </w: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3AE69F" w14:textId="77777777" w:rsidR="00321C0C" w:rsidRPr="00321C0C" w:rsidRDefault="00321C0C" w:rsidP="00321C0C">
            <w:pPr>
              <w:jc w:val="both"/>
              <w:rPr>
                <w:rFonts w:cstheme="minorHAnsi"/>
                <w:sz w:val="20"/>
                <w:szCs w:val="20"/>
              </w:rPr>
            </w:pPr>
          </w:p>
        </w:tc>
        <w:tc>
          <w:tcPr>
            <w:tcW w:w="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AE23DA"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A21D9E"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56EB73"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937C56"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15B5C1"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EA5DAB"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183793"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18BCB3"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0BDEA5" w14:textId="77777777" w:rsidR="00321C0C" w:rsidRPr="00321C0C" w:rsidRDefault="00321C0C" w:rsidP="00321C0C">
            <w:pPr>
              <w:jc w:val="both"/>
              <w:rPr>
                <w:rFonts w:cstheme="minorHAnsi"/>
                <w:sz w:val="20"/>
                <w:szCs w:val="20"/>
              </w:rPr>
            </w:pPr>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691B96" w14:textId="77777777" w:rsidR="00321C0C" w:rsidRPr="00321C0C" w:rsidRDefault="00321C0C" w:rsidP="00321C0C">
            <w:pPr>
              <w:jc w:val="both"/>
              <w:rPr>
                <w:rFonts w:cstheme="minorHAnsi"/>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541372" w14:textId="77777777" w:rsidR="00321C0C" w:rsidRPr="00321C0C" w:rsidRDefault="00321C0C" w:rsidP="00321C0C">
            <w:pPr>
              <w:jc w:val="both"/>
              <w:rPr>
                <w:rFonts w:cstheme="minorHAnsi"/>
                <w:sz w:val="20"/>
                <w:szCs w:val="20"/>
              </w:rPr>
            </w:pPr>
          </w:p>
        </w:tc>
      </w:tr>
      <w:bookmarkEnd w:id="21"/>
    </w:tbl>
    <w:p w14:paraId="5B155ACA" w14:textId="77777777" w:rsidR="00321C0C" w:rsidRPr="00321C0C" w:rsidRDefault="00321C0C" w:rsidP="00321C0C">
      <w:pPr>
        <w:ind w:right="-375"/>
        <w:contextualSpacing/>
        <w:jc w:val="both"/>
        <w:rPr>
          <w:rFonts w:eastAsia="OpenSymbol" w:cs="Times New Roman"/>
          <w:sz w:val="20"/>
          <w:szCs w:val="20"/>
          <w:lang w:val="cs-CZ"/>
        </w:rPr>
      </w:pPr>
    </w:p>
    <w:p w14:paraId="5D48E946" w14:textId="77777777" w:rsidR="00321C0C" w:rsidRPr="00321C0C" w:rsidRDefault="00321C0C" w:rsidP="00321C0C">
      <w:pPr>
        <w:ind w:right="-375"/>
        <w:contextualSpacing/>
        <w:jc w:val="both"/>
        <w:rPr>
          <w:rFonts w:eastAsia="OpenSymbol" w:cs="Times New Roman"/>
          <w:sz w:val="20"/>
          <w:szCs w:val="20"/>
          <w:lang w:val="cs-CZ"/>
        </w:rPr>
      </w:pPr>
      <w:r w:rsidRPr="00321C0C">
        <w:rPr>
          <w:rFonts w:eastAsia="OpenSymbol" w:cs="Times New Roman"/>
          <w:sz w:val="20"/>
          <w:szCs w:val="20"/>
          <w:lang w:val="cs-CZ"/>
        </w:rPr>
        <w:t>Pozn.: Průměrným přepočteným počtem se rozumí podíl celkového počtu skutečně odpracovaných hodin za sledované období od 1. 1. do 31. 12. všemi pracovníky (</w:t>
      </w:r>
      <w:r w:rsidRPr="00321C0C">
        <w:rPr>
          <w:rFonts w:cs="Times New Roman"/>
          <w:sz w:val="20"/>
          <w:szCs w:val="20"/>
          <w:lang w:val="cs-CZ"/>
        </w:rPr>
        <w:t>bez zahrnutí osob pracujících na DPP a DPČ</w:t>
      </w:r>
      <w:r w:rsidRPr="00321C0C">
        <w:rPr>
          <w:rFonts w:eastAsia="OpenSymbol" w:cs="Times New Roman"/>
          <w:sz w:val="20"/>
          <w:szCs w:val="20"/>
          <w:lang w:val="cs-CZ"/>
        </w:rPr>
        <w:t>) a celkového ročního fondu pracovní doby připadajícího na jednoho zaměstnance pracujícího plnou pracovní dobu.</w:t>
      </w:r>
    </w:p>
    <w:p w14:paraId="5129FFDD" w14:textId="77777777" w:rsidR="00321C0C" w:rsidRPr="00321C0C" w:rsidRDefault="00321C0C" w:rsidP="00321C0C">
      <w:pPr>
        <w:jc w:val="both"/>
        <w:rPr>
          <w:b/>
          <w:sz w:val="22"/>
          <w:szCs w:val="22"/>
          <w:lang w:val="cs-CZ"/>
        </w:rPr>
      </w:pPr>
    </w:p>
    <w:p w14:paraId="5349AE88" w14:textId="77777777" w:rsidR="00321C0C" w:rsidRPr="00321C0C" w:rsidRDefault="00321C0C" w:rsidP="00321C0C">
      <w:pPr>
        <w:jc w:val="both"/>
        <w:rPr>
          <w:b/>
          <w:lang w:val="cs-CZ"/>
        </w:rPr>
      </w:pPr>
      <w:r w:rsidRPr="00321C0C">
        <w:rPr>
          <w:b/>
          <w:lang w:val="cs-CZ"/>
        </w:rPr>
        <w:t xml:space="preserve">4.8 Navazující kariéry absolventů doktorského studia </w:t>
      </w:r>
    </w:p>
    <w:p w14:paraId="4CB96ACD" w14:textId="77777777" w:rsidR="00321C0C" w:rsidRPr="00321C0C" w:rsidRDefault="00321C0C" w:rsidP="00321C0C">
      <w:pPr>
        <w:jc w:val="both"/>
        <w:rPr>
          <w:b/>
          <w:sz w:val="22"/>
          <w:szCs w:val="22"/>
          <w:lang w:val="cs-CZ"/>
        </w:rPr>
      </w:pPr>
    </w:p>
    <w:p w14:paraId="00431AAF" w14:textId="77777777" w:rsidR="00321C0C" w:rsidRPr="00321C0C" w:rsidRDefault="00321C0C" w:rsidP="00321C0C">
      <w:pPr>
        <w:jc w:val="both"/>
        <w:rPr>
          <w:sz w:val="22"/>
          <w:szCs w:val="22"/>
          <w:lang w:val="cs-CZ"/>
        </w:rPr>
      </w:pPr>
      <w:r w:rsidRPr="00321C0C">
        <w:rPr>
          <w:sz w:val="22"/>
          <w:szCs w:val="22"/>
          <w:lang w:val="cs-CZ"/>
        </w:rPr>
        <w:t>4.8.1 Informace o navazující kariéře absolventů doktorského studia</w:t>
      </w:r>
    </w:p>
    <w:p w14:paraId="296367BE" w14:textId="77777777" w:rsidR="00321C0C" w:rsidRPr="00321C0C" w:rsidRDefault="00321C0C" w:rsidP="00321C0C">
      <w:pPr>
        <w:contextualSpacing/>
        <w:jc w:val="both"/>
        <w:rPr>
          <w:rFonts w:cs="Times New Roman"/>
          <w:sz w:val="22"/>
          <w:szCs w:val="22"/>
          <w:lang w:val="cs-CZ"/>
        </w:rPr>
      </w:pPr>
    </w:p>
    <w:tbl>
      <w:tblPr>
        <w:tblStyle w:val="Mkatabulky2"/>
        <w:tblW w:w="9197" w:type="dxa"/>
        <w:jc w:val="center"/>
        <w:shd w:val="clear" w:color="auto" w:fill="F2F2F2" w:themeFill="background1" w:themeFillShade="F2"/>
        <w:tblLook w:val="04A0" w:firstRow="1" w:lastRow="0" w:firstColumn="1" w:lastColumn="0" w:noHBand="0" w:noVBand="1"/>
      </w:tblPr>
      <w:tblGrid>
        <w:gridCol w:w="1838"/>
        <w:gridCol w:w="2545"/>
        <w:gridCol w:w="1141"/>
        <w:gridCol w:w="3673"/>
      </w:tblGrid>
      <w:tr w:rsidR="00321C0C" w:rsidRPr="00321C0C" w14:paraId="5790F81E" w14:textId="77777777" w:rsidTr="0096628E">
        <w:trPr>
          <w:jc w:val="center"/>
        </w:trPr>
        <w:tc>
          <w:tcPr>
            <w:tcW w:w="1838" w:type="dxa"/>
            <w:vMerge w:val="restart"/>
            <w:shd w:val="clear" w:color="auto" w:fill="F2F2F2" w:themeFill="background1" w:themeFillShade="F2"/>
            <w:vAlign w:val="center"/>
          </w:tcPr>
          <w:p w14:paraId="658FB864" w14:textId="77777777" w:rsidR="00321C0C" w:rsidRPr="00321C0C" w:rsidRDefault="00321C0C" w:rsidP="00321C0C">
            <w:pPr>
              <w:contextualSpacing/>
              <w:jc w:val="both"/>
              <w:rPr>
                <w:rFonts w:cs="Times New Roman"/>
                <w:sz w:val="20"/>
                <w:szCs w:val="20"/>
              </w:rPr>
            </w:pPr>
            <w:r w:rsidRPr="00321C0C">
              <w:rPr>
                <w:rFonts w:cs="Times New Roman"/>
                <w:sz w:val="20"/>
                <w:szCs w:val="20"/>
              </w:rPr>
              <w:t>Jméno, příjmení/iniciály a tituly absolventa</w:t>
            </w:r>
          </w:p>
        </w:tc>
        <w:tc>
          <w:tcPr>
            <w:tcW w:w="2545" w:type="dxa"/>
            <w:vMerge w:val="restart"/>
            <w:shd w:val="clear" w:color="auto" w:fill="F2F2F2" w:themeFill="background1" w:themeFillShade="F2"/>
            <w:vAlign w:val="center"/>
          </w:tcPr>
          <w:p w14:paraId="55A1D0C8" w14:textId="77777777" w:rsidR="00321C0C" w:rsidRPr="00321C0C" w:rsidRDefault="00321C0C" w:rsidP="00321C0C">
            <w:pPr>
              <w:contextualSpacing/>
              <w:jc w:val="both"/>
              <w:rPr>
                <w:rFonts w:cs="Times New Roman"/>
                <w:sz w:val="20"/>
                <w:szCs w:val="20"/>
              </w:rPr>
            </w:pPr>
            <w:r w:rsidRPr="00321C0C">
              <w:rPr>
                <w:rFonts w:cs="Times New Roman"/>
                <w:sz w:val="20"/>
                <w:szCs w:val="20"/>
              </w:rPr>
              <w:t xml:space="preserve">Název oboru, v němž absolvent získal v ČR titul Ph.D. </w:t>
            </w:r>
          </w:p>
        </w:tc>
        <w:tc>
          <w:tcPr>
            <w:tcW w:w="1141" w:type="dxa"/>
            <w:vMerge w:val="restart"/>
            <w:shd w:val="clear" w:color="auto" w:fill="F2F2F2" w:themeFill="background1" w:themeFillShade="F2"/>
            <w:vAlign w:val="center"/>
          </w:tcPr>
          <w:p w14:paraId="3BD37D8C" w14:textId="77777777" w:rsidR="00321C0C" w:rsidRPr="00321C0C" w:rsidRDefault="00321C0C" w:rsidP="00321C0C">
            <w:pPr>
              <w:contextualSpacing/>
              <w:jc w:val="both"/>
              <w:rPr>
                <w:rFonts w:cs="Times New Roman"/>
                <w:sz w:val="20"/>
                <w:szCs w:val="20"/>
              </w:rPr>
            </w:pPr>
            <w:r w:rsidRPr="00321C0C">
              <w:rPr>
                <w:rFonts w:cs="Times New Roman"/>
                <w:sz w:val="20"/>
                <w:szCs w:val="20"/>
              </w:rPr>
              <w:t>Rok získání titulu Ph.D. v ČR</w:t>
            </w:r>
          </w:p>
        </w:tc>
        <w:tc>
          <w:tcPr>
            <w:tcW w:w="3673" w:type="dxa"/>
            <w:shd w:val="clear" w:color="auto" w:fill="F2F2F2" w:themeFill="background1" w:themeFillShade="F2"/>
            <w:vAlign w:val="center"/>
          </w:tcPr>
          <w:p w14:paraId="3B84251F" w14:textId="77777777" w:rsidR="00321C0C" w:rsidRPr="00321C0C" w:rsidRDefault="00321C0C" w:rsidP="00321C0C">
            <w:pPr>
              <w:contextualSpacing/>
              <w:jc w:val="both"/>
              <w:rPr>
                <w:rFonts w:cs="Times New Roman"/>
                <w:sz w:val="20"/>
                <w:szCs w:val="20"/>
              </w:rPr>
            </w:pPr>
            <w:r w:rsidRPr="00321C0C">
              <w:rPr>
                <w:rFonts w:cs="Times New Roman"/>
                <w:sz w:val="20"/>
                <w:szCs w:val="20"/>
              </w:rPr>
              <w:t xml:space="preserve">Navazující kariéra </w:t>
            </w:r>
          </w:p>
        </w:tc>
      </w:tr>
      <w:tr w:rsidR="00321C0C" w:rsidRPr="00321C0C" w14:paraId="6D474C10" w14:textId="77777777" w:rsidTr="0096628E">
        <w:trPr>
          <w:jc w:val="center"/>
        </w:trPr>
        <w:tc>
          <w:tcPr>
            <w:tcW w:w="1838" w:type="dxa"/>
            <w:vMerge/>
            <w:shd w:val="clear" w:color="auto" w:fill="F2F2F2" w:themeFill="background1" w:themeFillShade="F2"/>
          </w:tcPr>
          <w:p w14:paraId="6F8B7947" w14:textId="77777777" w:rsidR="00321C0C" w:rsidRPr="00321C0C" w:rsidRDefault="00321C0C" w:rsidP="00321C0C">
            <w:pPr>
              <w:contextualSpacing/>
              <w:jc w:val="both"/>
              <w:rPr>
                <w:rFonts w:cs="Times New Roman"/>
                <w:b/>
                <w:sz w:val="24"/>
                <w:szCs w:val="24"/>
                <w:u w:val="single"/>
              </w:rPr>
            </w:pPr>
          </w:p>
        </w:tc>
        <w:tc>
          <w:tcPr>
            <w:tcW w:w="2545" w:type="dxa"/>
            <w:vMerge/>
            <w:shd w:val="clear" w:color="auto" w:fill="F2F2F2" w:themeFill="background1" w:themeFillShade="F2"/>
          </w:tcPr>
          <w:p w14:paraId="54B88597" w14:textId="77777777" w:rsidR="00321C0C" w:rsidRPr="00321C0C" w:rsidRDefault="00321C0C" w:rsidP="00321C0C">
            <w:pPr>
              <w:contextualSpacing/>
              <w:jc w:val="both"/>
              <w:rPr>
                <w:rFonts w:cs="Times New Roman"/>
                <w:b/>
                <w:sz w:val="24"/>
                <w:szCs w:val="24"/>
                <w:u w:val="single"/>
              </w:rPr>
            </w:pPr>
          </w:p>
        </w:tc>
        <w:tc>
          <w:tcPr>
            <w:tcW w:w="1141" w:type="dxa"/>
            <w:vMerge/>
            <w:shd w:val="clear" w:color="auto" w:fill="F2F2F2" w:themeFill="background1" w:themeFillShade="F2"/>
          </w:tcPr>
          <w:p w14:paraId="45E9C1CE" w14:textId="77777777" w:rsidR="00321C0C" w:rsidRPr="00321C0C" w:rsidRDefault="00321C0C" w:rsidP="00321C0C">
            <w:pPr>
              <w:contextualSpacing/>
              <w:jc w:val="both"/>
              <w:rPr>
                <w:rFonts w:cs="Times New Roman"/>
                <w:b/>
                <w:sz w:val="24"/>
                <w:szCs w:val="24"/>
                <w:u w:val="single"/>
              </w:rPr>
            </w:pPr>
          </w:p>
        </w:tc>
        <w:tc>
          <w:tcPr>
            <w:tcW w:w="3673" w:type="dxa"/>
            <w:shd w:val="clear" w:color="auto" w:fill="F2F2F2" w:themeFill="background1" w:themeFillShade="F2"/>
          </w:tcPr>
          <w:p w14:paraId="33BCCE68" w14:textId="77777777" w:rsidR="00321C0C" w:rsidRPr="00321C0C" w:rsidRDefault="00321C0C" w:rsidP="00321C0C">
            <w:pPr>
              <w:contextualSpacing/>
              <w:jc w:val="both"/>
              <w:rPr>
                <w:rFonts w:cs="Times New Roman"/>
                <w:b/>
                <w:sz w:val="24"/>
                <w:szCs w:val="24"/>
                <w:u w:val="single"/>
              </w:rPr>
            </w:pPr>
            <w:r w:rsidRPr="00321C0C">
              <w:rPr>
                <w:rFonts w:cs="Times New Roman"/>
                <w:sz w:val="20"/>
                <w:szCs w:val="20"/>
              </w:rPr>
              <w:t>Název zaměstnavatele, pracovní pozice, období</w:t>
            </w:r>
          </w:p>
        </w:tc>
      </w:tr>
      <w:tr w:rsidR="00321C0C" w:rsidRPr="00321C0C" w14:paraId="62E4A728" w14:textId="77777777" w:rsidTr="0096628E">
        <w:trPr>
          <w:jc w:val="center"/>
        </w:trPr>
        <w:tc>
          <w:tcPr>
            <w:tcW w:w="1838" w:type="dxa"/>
            <w:shd w:val="clear" w:color="auto" w:fill="F2F2F2" w:themeFill="background1" w:themeFillShade="F2"/>
          </w:tcPr>
          <w:p w14:paraId="633DEB4F" w14:textId="77777777" w:rsidR="00321C0C" w:rsidRPr="00321C0C" w:rsidRDefault="00321C0C" w:rsidP="00321C0C">
            <w:pPr>
              <w:contextualSpacing/>
              <w:jc w:val="both"/>
              <w:rPr>
                <w:rFonts w:cs="Times New Roman"/>
                <w:b/>
                <w:sz w:val="24"/>
                <w:szCs w:val="24"/>
                <w:u w:val="single"/>
              </w:rPr>
            </w:pPr>
          </w:p>
        </w:tc>
        <w:tc>
          <w:tcPr>
            <w:tcW w:w="2545" w:type="dxa"/>
            <w:shd w:val="clear" w:color="auto" w:fill="F2F2F2" w:themeFill="background1" w:themeFillShade="F2"/>
          </w:tcPr>
          <w:p w14:paraId="59792C4F" w14:textId="77777777" w:rsidR="00321C0C" w:rsidRPr="00321C0C" w:rsidRDefault="00321C0C" w:rsidP="00321C0C">
            <w:pPr>
              <w:contextualSpacing/>
              <w:jc w:val="both"/>
              <w:rPr>
                <w:rFonts w:cs="Times New Roman"/>
                <w:b/>
                <w:sz w:val="24"/>
                <w:szCs w:val="24"/>
                <w:u w:val="single"/>
              </w:rPr>
            </w:pPr>
          </w:p>
        </w:tc>
        <w:tc>
          <w:tcPr>
            <w:tcW w:w="1141" w:type="dxa"/>
            <w:shd w:val="clear" w:color="auto" w:fill="F2F2F2" w:themeFill="background1" w:themeFillShade="F2"/>
          </w:tcPr>
          <w:p w14:paraId="18A5C125" w14:textId="77777777" w:rsidR="00321C0C" w:rsidRPr="00321C0C" w:rsidRDefault="00321C0C" w:rsidP="00321C0C">
            <w:pPr>
              <w:contextualSpacing/>
              <w:jc w:val="both"/>
              <w:rPr>
                <w:rFonts w:cs="Times New Roman"/>
                <w:b/>
                <w:sz w:val="24"/>
                <w:szCs w:val="24"/>
                <w:u w:val="single"/>
              </w:rPr>
            </w:pPr>
          </w:p>
        </w:tc>
        <w:tc>
          <w:tcPr>
            <w:tcW w:w="3673" w:type="dxa"/>
            <w:shd w:val="clear" w:color="auto" w:fill="F2F2F2" w:themeFill="background1" w:themeFillShade="F2"/>
          </w:tcPr>
          <w:p w14:paraId="29EF783E" w14:textId="77777777" w:rsidR="00321C0C" w:rsidRPr="00321C0C" w:rsidRDefault="00321C0C" w:rsidP="00321C0C">
            <w:pPr>
              <w:contextualSpacing/>
              <w:jc w:val="both"/>
              <w:rPr>
                <w:rFonts w:cs="Times New Roman"/>
                <w:b/>
                <w:sz w:val="24"/>
                <w:szCs w:val="24"/>
                <w:u w:val="single"/>
              </w:rPr>
            </w:pPr>
          </w:p>
        </w:tc>
      </w:tr>
      <w:tr w:rsidR="00321C0C" w:rsidRPr="00321C0C" w14:paraId="5D298082" w14:textId="77777777" w:rsidTr="0096628E">
        <w:trPr>
          <w:jc w:val="center"/>
        </w:trPr>
        <w:tc>
          <w:tcPr>
            <w:tcW w:w="1838" w:type="dxa"/>
            <w:shd w:val="clear" w:color="auto" w:fill="F2F2F2" w:themeFill="background1" w:themeFillShade="F2"/>
          </w:tcPr>
          <w:p w14:paraId="78ED920E" w14:textId="77777777" w:rsidR="00321C0C" w:rsidRPr="00321C0C" w:rsidRDefault="00321C0C" w:rsidP="00321C0C">
            <w:pPr>
              <w:contextualSpacing/>
              <w:jc w:val="both"/>
              <w:rPr>
                <w:rFonts w:cs="Times New Roman"/>
                <w:b/>
                <w:sz w:val="24"/>
                <w:szCs w:val="24"/>
                <w:u w:val="single"/>
              </w:rPr>
            </w:pPr>
          </w:p>
        </w:tc>
        <w:tc>
          <w:tcPr>
            <w:tcW w:w="2545" w:type="dxa"/>
            <w:shd w:val="clear" w:color="auto" w:fill="F2F2F2" w:themeFill="background1" w:themeFillShade="F2"/>
          </w:tcPr>
          <w:p w14:paraId="4D090BD6" w14:textId="77777777" w:rsidR="00321C0C" w:rsidRPr="00321C0C" w:rsidRDefault="00321C0C" w:rsidP="00321C0C">
            <w:pPr>
              <w:contextualSpacing/>
              <w:jc w:val="both"/>
              <w:rPr>
                <w:rFonts w:cs="Times New Roman"/>
                <w:b/>
                <w:sz w:val="24"/>
                <w:szCs w:val="24"/>
                <w:u w:val="single"/>
              </w:rPr>
            </w:pPr>
          </w:p>
        </w:tc>
        <w:tc>
          <w:tcPr>
            <w:tcW w:w="1141" w:type="dxa"/>
            <w:shd w:val="clear" w:color="auto" w:fill="F2F2F2" w:themeFill="background1" w:themeFillShade="F2"/>
          </w:tcPr>
          <w:p w14:paraId="6F17E82E" w14:textId="77777777" w:rsidR="00321C0C" w:rsidRPr="00321C0C" w:rsidRDefault="00321C0C" w:rsidP="00321C0C">
            <w:pPr>
              <w:contextualSpacing/>
              <w:jc w:val="both"/>
              <w:rPr>
                <w:rFonts w:cs="Times New Roman"/>
                <w:b/>
                <w:sz w:val="24"/>
                <w:szCs w:val="24"/>
                <w:u w:val="single"/>
              </w:rPr>
            </w:pPr>
          </w:p>
        </w:tc>
        <w:tc>
          <w:tcPr>
            <w:tcW w:w="3673" w:type="dxa"/>
            <w:shd w:val="clear" w:color="auto" w:fill="F2F2F2" w:themeFill="background1" w:themeFillShade="F2"/>
          </w:tcPr>
          <w:p w14:paraId="03332BF1" w14:textId="77777777" w:rsidR="00321C0C" w:rsidRPr="00321C0C" w:rsidRDefault="00321C0C" w:rsidP="00321C0C">
            <w:pPr>
              <w:contextualSpacing/>
              <w:jc w:val="both"/>
              <w:rPr>
                <w:rFonts w:cs="Times New Roman"/>
                <w:b/>
                <w:sz w:val="24"/>
                <w:szCs w:val="24"/>
                <w:u w:val="single"/>
              </w:rPr>
            </w:pPr>
          </w:p>
        </w:tc>
      </w:tr>
      <w:tr w:rsidR="00321C0C" w:rsidRPr="00321C0C" w14:paraId="23257D27" w14:textId="77777777" w:rsidTr="0096628E">
        <w:trPr>
          <w:jc w:val="center"/>
        </w:trPr>
        <w:tc>
          <w:tcPr>
            <w:tcW w:w="1838" w:type="dxa"/>
            <w:shd w:val="clear" w:color="auto" w:fill="F2F2F2" w:themeFill="background1" w:themeFillShade="F2"/>
          </w:tcPr>
          <w:p w14:paraId="1C33F1C5" w14:textId="77777777" w:rsidR="00321C0C" w:rsidRPr="00321C0C" w:rsidRDefault="00321C0C" w:rsidP="00321C0C">
            <w:pPr>
              <w:contextualSpacing/>
              <w:jc w:val="both"/>
              <w:rPr>
                <w:rFonts w:cs="Times New Roman"/>
                <w:b/>
                <w:sz w:val="24"/>
                <w:szCs w:val="24"/>
                <w:u w:val="single"/>
              </w:rPr>
            </w:pPr>
          </w:p>
        </w:tc>
        <w:tc>
          <w:tcPr>
            <w:tcW w:w="2545" w:type="dxa"/>
            <w:shd w:val="clear" w:color="auto" w:fill="F2F2F2" w:themeFill="background1" w:themeFillShade="F2"/>
          </w:tcPr>
          <w:p w14:paraId="0FCEC452" w14:textId="77777777" w:rsidR="00321C0C" w:rsidRPr="00321C0C" w:rsidRDefault="00321C0C" w:rsidP="00321C0C">
            <w:pPr>
              <w:contextualSpacing/>
              <w:jc w:val="both"/>
              <w:rPr>
                <w:rFonts w:cs="Times New Roman"/>
                <w:b/>
                <w:sz w:val="24"/>
                <w:szCs w:val="24"/>
                <w:u w:val="single"/>
              </w:rPr>
            </w:pPr>
          </w:p>
        </w:tc>
        <w:tc>
          <w:tcPr>
            <w:tcW w:w="1141" w:type="dxa"/>
            <w:shd w:val="clear" w:color="auto" w:fill="F2F2F2" w:themeFill="background1" w:themeFillShade="F2"/>
          </w:tcPr>
          <w:p w14:paraId="0A4E48A5" w14:textId="77777777" w:rsidR="00321C0C" w:rsidRPr="00321C0C" w:rsidRDefault="00321C0C" w:rsidP="00321C0C">
            <w:pPr>
              <w:contextualSpacing/>
              <w:jc w:val="both"/>
              <w:rPr>
                <w:rFonts w:cs="Times New Roman"/>
                <w:b/>
                <w:sz w:val="24"/>
                <w:szCs w:val="24"/>
                <w:u w:val="single"/>
              </w:rPr>
            </w:pPr>
          </w:p>
        </w:tc>
        <w:tc>
          <w:tcPr>
            <w:tcW w:w="3673" w:type="dxa"/>
            <w:shd w:val="clear" w:color="auto" w:fill="F2F2F2" w:themeFill="background1" w:themeFillShade="F2"/>
          </w:tcPr>
          <w:p w14:paraId="7845A706" w14:textId="77777777" w:rsidR="00321C0C" w:rsidRPr="00321C0C" w:rsidRDefault="00321C0C" w:rsidP="00321C0C">
            <w:pPr>
              <w:contextualSpacing/>
              <w:jc w:val="both"/>
              <w:rPr>
                <w:rFonts w:cs="Times New Roman"/>
                <w:b/>
                <w:sz w:val="24"/>
                <w:szCs w:val="24"/>
                <w:u w:val="single"/>
              </w:rPr>
            </w:pPr>
          </w:p>
        </w:tc>
      </w:tr>
      <w:tr w:rsidR="00321C0C" w:rsidRPr="00321C0C" w14:paraId="5B49CB5C" w14:textId="77777777" w:rsidTr="0096628E">
        <w:trPr>
          <w:jc w:val="center"/>
        </w:trPr>
        <w:tc>
          <w:tcPr>
            <w:tcW w:w="1838" w:type="dxa"/>
            <w:shd w:val="clear" w:color="auto" w:fill="F2F2F2" w:themeFill="background1" w:themeFillShade="F2"/>
          </w:tcPr>
          <w:p w14:paraId="703F1144" w14:textId="77777777" w:rsidR="00321C0C" w:rsidRPr="00321C0C" w:rsidRDefault="00321C0C" w:rsidP="00321C0C">
            <w:pPr>
              <w:contextualSpacing/>
              <w:jc w:val="both"/>
              <w:rPr>
                <w:rFonts w:cs="Times New Roman"/>
                <w:b/>
                <w:sz w:val="24"/>
                <w:szCs w:val="24"/>
                <w:u w:val="single"/>
              </w:rPr>
            </w:pPr>
          </w:p>
        </w:tc>
        <w:tc>
          <w:tcPr>
            <w:tcW w:w="2545" w:type="dxa"/>
            <w:shd w:val="clear" w:color="auto" w:fill="F2F2F2" w:themeFill="background1" w:themeFillShade="F2"/>
          </w:tcPr>
          <w:p w14:paraId="3E863E36" w14:textId="77777777" w:rsidR="00321C0C" w:rsidRPr="00321C0C" w:rsidRDefault="00321C0C" w:rsidP="00321C0C">
            <w:pPr>
              <w:contextualSpacing/>
              <w:jc w:val="both"/>
              <w:rPr>
                <w:rFonts w:cs="Times New Roman"/>
                <w:b/>
                <w:sz w:val="24"/>
                <w:szCs w:val="24"/>
                <w:u w:val="single"/>
              </w:rPr>
            </w:pPr>
          </w:p>
        </w:tc>
        <w:tc>
          <w:tcPr>
            <w:tcW w:w="1141" w:type="dxa"/>
            <w:shd w:val="clear" w:color="auto" w:fill="F2F2F2" w:themeFill="background1" w:themeFillShade="F2"/>
          </w:tcPr>
          <w:p w14:paraId="3F0D75A9" w14:textId="77777777" w:rsidR="00321C0C" w:rsidRPr="00321C0C" w:rsidRDefault="00321C0C" w:rsidP="00321C0C">
            <w:pPr>
              <w:contextualSpacing/>
              <w:jc w:val="both"/>
              <w:rPr>
                <w:rFonts w:cs="Times New Roman"/>
                <w:b/>
                <w:sz w:val="24"/>
                <w:szCs w:val="24"/>
                <w:u w:val="single"/>
              </w:rPr>
            </w:pPr>
          </w:p>
        </w:tc>
        <w:tc>
          <w:tcPr>
            <w:tcW w:w="3673" w:type="dxa"/>
            <w:shd w:val="clear" w:color="auto" w:fill="F2F2F2" w:themeFill="background1" w:themeFillShade="F2"/>
          </w:tcPr>
          <w:p w14:paraId="02679849" w14:textId="77777777" w:rsidR="00321C0C" w:rsidRPr="00321C0C" w:rsidRDefault="00321C0C" w:rsidP="00321C0C">
            <w:pPr>
              <w:contextualSpacing/>
              <w:jc w:val="both"/>
              <w:rPr>
                <w:rFonts w:cs="Times New Roman"/>
                <w:b/>
                <w:sz w:val="24"/>
                <w:szCs w:val="24"/>
                <w:u w:val="single"/>
              </w:rPr>
            </w:pPr>
          </w:p>
        </w:tc>
      </w:tr>
      <w:tr w:rsidR="00321C0C" w:rsidRPr="00321C0C" w14:paraId="10740D1A" w14:textId="77777777" w:rsidTr="0096628E">
        <w:trPr>
          <w:jc w:val="center"/>
        </w:trPr>
        <w:tc>
          <w:tcPr>
            <w:tcW w:w="1838" w:type="dxa"/>
            <w:shd w:val="clear" w:color="auto" w:fill="F2F2F2" w:themeFill="background1" w:themeFillShade="F2"/>
          </w:tcPr>
          <w:p w14:paraId="390B7406" w14:textId="77777777" w:rsidR="00321C0C" w:rsidRPr="00321C0C" w:rsidRDefault="00321C0C" w:rsidP="00321C0C">
            <w:pPr>
              <w:contextualSpacing/>
              <w:jc w:val="both"/>
              <w:rPr>
                <w:rFonts w:cs="Times New Roman"/>
                <w:b/>
                <w:sz w:val="24"/>
                <w:szCs w:val="24"/>
                <w:u w:val="single"/>
              </w:rPr>
            </w:pPr>
          </w:p>
        </w:tc>
        <w:tc>
          <w:tcPr>
            <w:tcW w:w="2545" w:type="dxa"/>
            <w:shd w:val="clear" w:color="auto" w:fill="F2F2F2" w:themeFill="background1" w:themeFillShade="F2"/>
          </w:tcPr>
          <w:p w14:paraId="076ECE5E" w14:textId="77777777" w:rsidR="00321C0C" w:rsidRPr="00321C0C" w:rsidRDefault="00321C0C" w:rsidP="00321C0C">
            <w:pPr>
              <w:contextualSpacing/>
              <w:jc w:val="both"/>
              <w:rPr>
                <w:rFonts w:cs="Times New Roman"/>
                <w:b/>
                <w:sz w:val="24"/>
                <w:szCs w:val="24"/>
                <w:u w:val="single"/>
              </w:rPr>
            </w:pPr>
          </w:p>
        </w:tc>
        <w:tc>
          <w:tcPr>
            <w:tcW w:w="1141" w:type="dxa"/>
            <w:shd w:val="clear" w:color="auto" w:fill="F2F2F2" w:themeFill="background1" w:themeFillShade="F2"/>
          </w:tcPr>
          <w:p w14:paraId="40EFAADD" w14:textId="77777777" w:rsidR="00321C0C" w:rsidRPr="00321C0C" w:rsidRDefault="00321C0C" w:rsidP="00321C0C">
            <w:pPr>
              <w:contextualSpacing/>
              <w:jc w:val="both"/>
              <w:rPr>
                <w:rFonts w:cs="Times New Roman"/>
                <w:b/>
                <w:sz w:val="24"/>
                <w:szCs w:val="24"/>
                <w:u w:val="single"/>
              </w:rPr>
            </w:pPr>
          </w:p>
        </w:tc>
        <w:tc>
          <w:tcPr>
            <w:tcW w:w="3673" w:type="dxa"/>
            <w:shd w:val="clear" w:color="auto" w:fill="F2F2F2" w:themeFill="background1" w:themeFillShade="F2"/>
          </w:tcPr>
          <w:p w14:paraId="457ABB66" w14:textId="77777777" w:rsidR="00321C0C" w:rsidRPr="00321C0C" w:rsidRDefault="00321C0C" w:rsidP="00321C0C">
            <w:pPr>
              <w:contextualSpacing/>
              <w:jc w:val="both"/>
              <w:rPr>
                <w:rFonts w:cs="Times New Roman"/>
                <w:b/>
                <w:sz w:val="24"/>
                <w:szCs w:val="24"/>
                <w:u w:val="single"/>
              </w:rPr>
            </w:pPr>
          </w:p>
        </w:tc>
      </w:tr>
      <w:tr w:rsidR="00321C0C" w:rsidRPr="00321C0C" w14:paraId="0B09F813" w14:textId="77777777" w:rsidTr="0096628E">
        <w:trPr>
          <w:jc w:val="center"/>
        </w:trPr>
        <w:tc>
          <w:tcPr>
            <w:tcW w:w="1838" w:type="dxa"/>
            <w:shd w:val="clear" w:color="auto" w:fill="F2F2F2" w:themeFill="background1" w:themeFillShade="F2"/>
          </w:tcPr>
          <w:p w14:paraId="4F275824" w14:textId="77777777" w:rsidR="00321C0C" w:rsidRPr="00321C0C" w:rsidRDefault="00321C0C" w:rsidP="00321C0C">
            <w:pPr>
              <w:contextualSpacing/>
              <w:jc w:val="both"/>
              <w:rPr>
                <w:rFonts w:cs="Times New Roman"/>
                <w:b/>
                <w:sz w:val="24"/>
                <w:szCs w:val="24"/>
                <w:u w:val="single"/>
              </w:rPr>
            </w:pPr>
          </w:p>
        </w:tc>
        <w:tc>
          <w:tcPr>
            <w:tcW w:w="2545" w:type="dxa"/>
            <w:shd w:val="clear" w:color="auto" w:fill="F2F2F2" w:themeFill="background1" w:themeFillShade="F2"/>
          </w:tcPr>
          <w:p w14:paraId="336D31AC" w14:textId="77777777" w:rsidR="00321C0C" w:rsidRPr="00321C0C" w:rsidRDefault="00321C0C" w:rsidP="00321C0C">
            <w:pPr>
              <w:contextualSpacing/>
              <w:jc w:val="both"/>
              <w:rPr>
                <w:rFonts w:cs="Times New Roman"/>
                <w:b/>
                <w:sz w:val="24"/>
                <w:szCs w:val="24"/>
                <w:u w:val="single"/>
              </w:rPr>
            </w:pPr>
          </w:p>
        </w:tc>
        <w:tc>
          <w:tcPr>
            <w:tcW w:w="1141" w:type="dxa"/>
            <w:shd w:val="clear" w:color="auto" w:fill="F2F2F2" w:themeFill="background1" w:themeFillShade="F2"/>
          </w:tcPr>
          <w:p w14:paraId="7F177018" w14:textId="77777777" w:rsidR="00321C0C" w:rsidRPr="00321C0C" w:rsidRDefault="00321C0C" w:rsidP="00321C0C">
            <w:pPr>
              <w:contextualSpacing/>
              <w:jc w:val="both"/>
              <w:rPr>
                <w:rFonts w:cs="Times New Roman"/>
                <w:b/>
                <w:sz w:val="24"/>
                <w:szCs w:val="24"/>
                <w:u w:val="single"/>
              </w:rPr>
            </w:pPr>
          </w:p>
        </w:tc>
        <w:tc>
          <w:tcPr>
            <w:tcW w:w="3673" w:type="dxa"/>
            <w:shd w:val="clear" w:color="auto" w:fill="F2F2F2" w:themeFill="background1" w:themeFillShade="F2"/>
          </w:tcPr>
          <w:p w14:paraId="4134360A" w14:textId="77777777" w:rsidR="00321C0C" w:rsidRPr="00321C0C" w:rsidRDefault="00321C0C" w:rsidP="00321C0C">
            <w:pPr>
              <w:contextualSpacing/>
              <w:jc w:val="both"/>
              <w:rPr>
                <w:rFonts w:cs="Times New Roman"/>
                <w:b/>
                <w:sz w:val="24"/>
                <w:szCs w:val="24"/>
                <w:u w:val="single"/>
              </w:rPr>
            </w:pPr>
          </w:p>
        </w:tc>
      </w:tr>
      <w:tr w:rsidR="00321C0C" w:rsidRPr="00321C0C" w14:paraId="17C30347" w14:textId="77777777" w:rsidTr="0096628E">
        <w:trPr>
          <w:jc w:val="center"/>
        </w:trPr>
        <w:tc>
          <w:tcPr>
            <w:tcW w:w="1838" w:type="dxa"/>
            <w:shd w:val="clear" w:color="auto" w:fill="F2F2F2" w:themeFill="background1" w:themeFillShade="F2"/>
          </w:tcPr>
          <w:p w14:paraId="187EAD99" w14:textId="77777777" w:rsidR="00321C0C" w:rsidRPr="00321C0C" w:rsidRDefault="00321C0C" w:rsidP="00321C0C">
            <w:pPr>
              <w:contextualSpacing/>
              <w:jc w:val="both"/>
              <w:rPr>
                <w:rFonts w:cs="Times New Roman"/>
                <w:b/>
                <w:sz w:val="24"/>
                <w:szCs w:val="24"/>
                <w:u w:val="single"/>
              </w:rPr>
            </w:pPr>
          </w:p>
        </w:tc>
        <w:tc>
          <w:tcPr>
            <w:tcW w:w="2545" w:type="dxa"/>
            <w:shd w:val="clear" w:color="auto" w:fill="F2F2F2" w:themeFill="background1" w:themeFillShade="F2"/>
          </w:tcPr>
          <w:p w14:paraId="4ED67F01" w14:textId="77777777" w:rsidR="00321C0C" w:rsidRPr="00321C0C" w:rsidRDefault="00321C0C" w:rsidP="00321C0C">
            <w:pPr>
              <w:contextualSpacing/>
              <w:jc w:val="both"/>
              <w:rPr>
                <w:rFonts w:cs="Times New Roman"/>
                <w:b/>
                <w:sz w:val="24"/>
                <w:szCs w:val="24"/>
                <w:u w:val="single"/>
              </w:rPr>
            </w:pPr>
          </w:p>
        </w:tc>
        <w:tc>
          <w:tcPr>
            <w:tcW w:w="1141" w:type="dxa"/>
            <w:shd w:val="clear" w:color="auto" w:fill="F2F2F2" w:themeFill="background1" w:themeFillShade="F2"/>
          </w:tcPr>
          <w:p w14:paraId="15D31A97" w14:textId="77777777" w:rsidR="00321C0C" w:rsidRPr="00321C0C" w:rsidRDefault="00321C0C" w:rsidP="00321C0C">
            <w:pPr>
              <w:contextualSpacing/>
              <w:jc w:val="both"/>
              <w:rPr>
                <w:rFonts w:cs="Times New Roman"/>
                <w:b/>
                <w:sz w:val="24"/>
                <w:szCs w:val="24"/>
                <w:u w:val="single"/>
              </w:rPr>
            </w:pPr>
          </w:p>
        </w:tc>
        <w:tc>
          <w:tcPr>
            <w:tcW w:w="3673" w:type="dxa"/>
            <w:shd w:val="clear" w:color="auto" w:fill="F2F2F2" w:themeFill="background1" w:themeFillShade="F2"/>
          </w:tcPr>
          <w:p w14:paraId="5EAFC26F" w14:textId="77777777" w:rsidR="00321C0C" w:rsidRPr="00321C0C" w:rsidRDefault="00321C0C" w:rsidP="00321C0C">
            <w:pPr>
              <w:contextualSpacing/>
              <w:jc w:val="both"/>
              <w:rPr>
                <w:rFonts w:cs="Times New Roman"/>
                <w:b/>
                <w:sz w:val="24"/>
                <w:szCs w:val="24"/>
                <w:u w:val="single"/>
              </w:rPr>
            </w:pPr>
          </w:p>
        </w:tc>
      </w:tr>
      <w:tr w:rsidR="00321C0C" w:rsidRPr="00321C0C" w14:paraId="02146E85" w14:textId="77777777" w:rsidTr="0096628E">
        <w:trPr>
          <w:jc w:val="center"/>
        </w:trPr>
        <w:tc>
          <w:tcPr>
            <w:tcW w:w="1838" w:type="dxa"/>
            <w:shd w:val="clear" w:color="auto" w:fill="F2F2F2" w:themeFill="background1" w:themeFillShade="F2"/>
          </w:tcPr>
          <w:p w14:paraId="2F61844D" w14:textId="77777777" w:rsidR="00321C0C" w:rsidRPr="00321C0C" w:rsidRDefault="00321C0C" w:rsidP="00321C0C">
            <w:pPr>
              <w:contextualSpacing/>
              <w:jc w:val="both"/>
              <w:rPr>
                <w:rFonts w:cs="Times New Roman"/>
                <w:b/>
                <w:sz w:val="24"/>
                <w:szCs w:val="24"/>
                <w:u w:val="single"/>
              </w:rPr>
            </w:pPr>
          </w:p>
        </w:tc>
        <w:tc>
          <w:tcPr>
            <w:tcW w:w="2545" w:type="dxa"/>
            <w:shd w:val="clear" w:color="auto" w:fill="F2F2F2" w:themeFill="background1" w:themeFillShade="F2"/>
          </w:tcPr>
          <w:p w14:paraId="4B1D38B7" w14:textId="77777777" w:rsidR="00321C0C" w:rsidRPr="00321C0C" w:rsidRDefault="00321C0C" w:rsidP="00321C0C">
            <w:pPr>
              <w:contextualSpacing/>
              <w:jc w:val="both"/>
              <w:rPr>
                <w:rFonts w:cs="Times New Roman"/>
                <w:b/>
                <w:sz w:val="24"/>
                <w:szCs w:val="24"/>
                <w:u w:val="single"/>
              </w:rPr>
            </w:pPr>
          </w:p>
        </w:tc>
        <w:tc>
          <w:tcPr>
            <w:tcW w:w="1141" w:type="dxa"/>
            <w:shd w:val="clear" w:color="auto" w:fill="F2F2F2" w:themeFill="background1" w:themeFillShade="F2"/>
          </w:tcPr>
          <w:p w14:paraId="3B15ADE8" w14:textId="77777777" w:rsidR="00321C0C" w:rsidRPr="00321C0C" w:rsidRDefault="00321C0C" w:rsidP="00321C0C">
            <w:pPr>
              <w:contextualSpacing/>
              <w:jc w:val="both"/>
              <w:rPr>
                <w:rFonts w:cs="Times New Roman"/>
                <w:b/>
                <w:sz w:val="24"/>
                <w:szCs w:val="24"/>
                <w:u w:val="single"/>
              </w:rPr>
            </w:pPr>
          </w:p>
        </w:tc>
        <w:tc>
          <w:tcPr>
            <w:tcW w:w="3673" w:type="dxa"/>
            <w:shd w:val="clear" w:color="auto" w:fill="F2F2F2" w:themeFill="background1" w:themeFillShade="F2"/>
          </w:tcPr>
          <w:p w14:paraId="49BD6690" w14:textId="77777777" w:rsidR="00321C0C" w:rsidRPr="00321C0C" w:rsidRDefault="00321C0C" w:rsidP="00321C0C">
            <w:pPr>
              <w:contextualSpacing/>
              <w:jc w:val="both"/>
              <w:rPr>
                <w:rFonts w:cs="Times New Roman"/>
                <w:b/>
                <w:sz w:val="24"/>
                <w:szCs w:val="24"/>
                <w:u w:val="single"/>
              </w:rPr>
            </w:pPr>
          </w:p>
        </w:tc>
      </w:tr>
      <w:tr w:rsidR="00321C0C" w:rsidRPr="00321C0C" w14:paraId="64BEF492" w14:textId="77777777" w:rsidTr="0096628E">
        <w:trPr>
          <w:jc w:val="center"/>
        </w:trPr>
        <w:tc>
          <w:tcPr>
            <w:tcW w:w="1838" w:type="dxa"/>
            <w:shd w:val="clear" w:color="auto" w:fill="F2F2F2" w:themeFill="background1" w:themeFillShade="F2"/>
          </w:tcPr>
          <w:p w14:paraId="64E08D60" w14:textId="77777777" w:rsidR="00321C0C" w:rsidRPr="00321C0C" w:rsidRDefault="00321C0C" w:rsidP="00321C0C">
            <w:pPr>
              <w:contextualSpacing/>
              <w:jc w:val="both"/>
              <w:rPr>
                <w:rFonts w:cs="Times New Roman"/>
                <w:b/>
                <w:sz w:val="24"/>
                <w:szCs w:val="24"/>
                <w:u w:val="single"/>
              </w:rPr>
            </w:pPr>
          </w:p>
        </w:tc>
        <w:tc>
          <w:tcPr>
            <w:tcW w:w="2545" w:type="dxa"/>
            <w:shd w:val="clear" w:color="auto" w:fill="F2F2F2" w:themeFill="background1" w:themeFillShade="F2"/>
          </w:tcPr>
          <w:p w14:paraId="159C8A66" w14:textId="77777777" w:rsidR="00321C0C" w:rsidRPr="00321C0C" w:rsidRDefault="00321C0C" w:rsidP="00321C0C">
            <w:pPr>
              <w:contextualSpacing/>
              <w:jc w:val="both"/>
              <w:rPr>
                <w:rFonts w:cs="Times New Roman"/>
                <w:b/>
                <w:sz w:val="24"/>
                <w:szCs w:val="24"/>
                <w:u w:val="single"/>
              </w:rPr>
            </w:pPr>
          </w:p>
        </w:tc>
        <w:tc>
          <w:tcPr>
            <w:tcW w:w="1141" w:type="dxa"/>
            <w:shd w:val="clear" w:color="auto" w:fill="F2F2F2" w:themeFill="background1" w:themeFillShade="F2"/>
          </w:tcPr>
          <w:p w14:paraId="31763276" w14:textId="77777777" w:rsidR="00321C0C" w:rsidRPr="00321C0C" w:rsidRDefault="00321C0C" w:rsidP="00321C0C">
            <w:pPr>
              <w:contextualSpacing/>
              <w:jc w:val="both"/>
              <w:rPr>
                <w:rFonts w:cs="Times New Roman"/>
                <w:b/>
                <w:sz w:val="24"/>
                <w:szCs w:val="24"/>
                <w:u w:val="single"/>
              </w:rPr>
            </w:pPr>
          </w:p>
        </w:tc>
        <w:tc>
          <w:tcPr>
            <w:tcW w:w="3673" w:type="dxa"/>
            <w:shd w:val="clear" w:color="auto" w:fill="F2F2F2" w:themeFill="background1" w:themeFillShade="F2"/>
          </w:tcPr>
          <w:p w14:paraId="1E7AB6AE" w14:textId="77777777" w:rsidR="00321C0C" w:rsidRPr="00321C0C" w:rsidRDefault="00321C0C" w:rsidP="00321C0C">
            <w:pPr>
              <w:contextualSpacing/>
              <w:jc w:val="both"/>
              <w:rPr>
                <w:rFonts w:cs="Times New Roman"/>
                <w:b/>
                <w:sz w:val="24"/>
                <w:szCs w:val="24"/>
                <w:u w:val="single"/>
              </w:rPr>
            </w:pPr>
          </w:p>
        </w:tc>
      </w:tr>
    </w:tbl>
    <w:p w14:paraId="0CB96A32" w14:textId="77777777" w:rsidR="00321C0C" w:rsidRPr="00321C0C" w:rsidRDefault="00321C0C" w:rsidP="00321C0C">
      <w:pPr>
        <w:jc w:val="both"/>
        <w:rPr>
          <w:b/>
          <w:sz w:val="22"/>
          <w:szCs w:val="22"/>
          <w:lang w:val="cs-CZ"/>
        </w:rPr>
      </w:pPr>
    </w:p>
    <w:p w14:paraId="402BBBE2" w14:textId="77777777" w:rsidR="00321C0C" w:rsidRPr="00321C0C" w:rsidRDefault="00321C0C" w:rsidP="00321C0C">
      <w:pPr>
        <w:spacing w:line="240" w:lineRule="atLeast"/>
        <w:jc w:val="both"/>
        <w:rPr>
          <w:rFonts w:cstheme="minorHAnsi"/>
          <w:sz w:val="20"/>
          <w:szCs w:val="20"/>
          <w:lang w:val="cs-CZ"/>
        </w:rPr>
      </w:pPr>
      <w:r w:rsidRPr="00321C0C">
        <w:rPr>
          <w:rFonts w:cstheme="minorHAnsi"/>
          <w:sz w:val="20"/>
          <w:szCs w:val="20"/>
          <w:lang w:val="cs-CZ"/>
        </w:rPr>
        <w:t xml:space="preserve">Pozn.: </w:t>
      </w:r>
      <w:proofErr w:type="spellStart"/>
      <w:r w:rsidRPr="00321C0C">
        <w:rPr>
          <w:sz w:val="20"/>
          <w:szCs w:val="20"/>
        </w:rPr>
        <w:t>Uveďte</w:t>
      </w:r>
      <w:proofErr w:type="spellEnd"/>
      <w:r w:rsidRPr="00321C0C">
        <w:rPr>
          <w:sz w:val="20"/>
          <w:szCs w:val="20"/>
        </w:rPr>
        <w:t xml:space="preserve"> </w:t>
      </w:r>
      <w:proofErr w:type="spellStart"/>
      <w:r w:rsidRPr="00321C0C">
        <w:rPr>
          <w:sz w:val="20"/>
          <w:szCs w:val="20"/>
        </w:rPr>
        <w:t>maximálně</w:t>
      </w:r>
      <w:proofErr w:type="spellEnd"/>
      <w:r w:rsidRPr="00321C0C">
        <w:rPr>
          <w:sz w:val="20"/>
          <w:szCs w:val="20"/>
        </w:rPr>
        <w:t xml:space="preserve"> 10 </w:t>
      </w:r>
      <w:proofErr w:type="spellStart"/>
      <w:r w:rsidRPr="00321C0C">
        <w:rPr>
          <w:sz w:val="20"/>
          <w:szCs w:val="20"/>
        </w:rPr>
        <w:t>příkladů</w:t>
      </w:r>
      <w:proofErr w:type="spellEnd"/>
      <w:r w:rsidRPr="00321C0C">
        <w:rPr>
          <w:sz w:val="20"/>
          <w:szCs w:val="20"/>
        </w:rPr>
        <w:t xml:space="preserve"> </w:t>
      </w:r>
      <w:proofErr w:type="spellStart"/>
      <w:r w:rsidRPr="00321C0C">
        <w:rPr>
          <w:sz w:val="20"/>
          <w:szCs w:val="20"/>
        </w:rPr>
        <w:t>uplatnění</w:t>
      </w:r>
      <w:proofErr w:type="spellEnd"/>
      <w:r w:rsidRPr="00321C0C">
        <w:rPr>
          <w:sz w:val="20"/>
          <w:szCs w:val="20"/>
        </w:rPr>
        <w:t xml:space="preserve"> </w:t>
      </w:r>
      <w:proofErr w:type="spellStart"/>
      <w:r w:rsidRPr="00321C0C">
        <w:rPr>
          <w:sz w:val="20"/>
          <w:szCs w:val="20"/>
        </w:rPr>
        <w:t>absolventů</w:t>
      </w:r>
      <w:proofErr w:type="spellEnd"/>
      <w:r w:rsidRPr="00321C0C">
        <w:rPr>
          <w:sz w:val="20"/>
          <w:szCs w:val="20"/>
        </w:rPr>
        <w:t xml:space="preserve"> </w:t>
      </w:r>
      <w:proofErr w:type="spellStart"/>
      <w:r w:rsidRPr="00321C0C">
        <w:rPr>
          <w:sz w:val="20"/>
          <w:szCs w:val="20"/>
        </w:rPr>
        <w:t>doktorského</w:t>
      </w:r>
      <w:proofErr w:type="spellEnd"/>
      <w:r w:rsidRPr="00321C0C">
        <w:rPr>
          <w:sz w:val="20"/>
          <w:szCs w:val="20"/>
        </w:rPr>
        <w:t xml:space="preserve"> </w:t>
      </w:r>
      <w:proofErr w:type="spellStart"/>
      <w:r w:rsidRPr="00321C0C">
        <w:rPr>
          <w:sz w:val="20"/>
          <w:szCs w:val="20"/>
        </w:rPr>
        <w:t>studia</w:t>
      </w:r>
      <w:proofErr w:type="spellEnd"/>
      <w:r w:rsidRPr="00321C0C">
        <w:rPr>
          <w:sz w:val="20"/>
          <w:szCs w:val="20"/>
        </w:rPr>
        <w:t xml:space="preserve">, </w:t>
      </w:r>
      <w:proofErr w:type="spellStart"/>
      <w:r w:rsidRPr="00321C0C">
        <w:rPr>
          <w:sz w:val="20"/>
          <w:szCs w:val="20"/>
        </w:rPr>
        <w:t>kteří</w:t>
      </w:r>
      <w:proofErr w:type="spellEnd"/>
      <w:r w:rsidRPr="00321C0C">
        <w:rPr>
          <w:sz w:val="20"/>
          <w:szCs w:val="20"/>
        </w:rPr>
        <w:t xml:space="preserve"> </w:t>
      </w:r>
      <w:proofErr w:type="spellStart"/>
      <w:r w:rsidRPr="00321C0C">
        <w:rPr>
          <w:sz w:val="20"/>
          <w:szCs w:val="20"/>
        </w:rPr>
        <w:t>dosáhli</w:t>
      </w:r>
      <w:proofErr w:type="spellEnd"/>
      <w:r w:rsidRPr="00321C0C">
        <w:rPr>
          <w:sz w:val="20"/>
          <w:szCs w:val="20"/>
        </w:rPr>
        <w:t xml:space="preserve"> </w:t>
      </w:r>
      <w:proofErr w:type="spellStart"/>
      <w:r w:rsidRPr="00321C0C">
        <w:rPr>
          <w:sz w:val="20"/>
          <w:szCs w:val="20"/>
        </w:rPr>
        <w:t>význačného</w:t>
      </w:r>
      <w:proofErr w:type="spellEnd"/>
      <w:r w:rsidRPr="00321C0C">
        <w:rPr>
          <w:sz w:val="20"/>
          <w:szCs w:val="20"/>
        </w:rPr>
        <w:t xml:space="preserve"> </w:t>
      </w:r>
      <w:proofErr w:type="spellStart"/>
      <w:r w:rsidRPr="00321C0C">
        <w:rPr>
          <w:sz w:val="20"/>
          <w:szCs w:val="20"/>
        </w:rPr>
        <w:t>uplatnění</w:t>
      </w:r>
      <w:proofErr w:type="spellEnd"/>
      <w:r w:rsidRPr="00321C0C">
        <w:rPr>
          <w:sz w:val="20"/>
          <w:szCs w:val="20"/>
        </w:rPr>
        <w:t xml:space="preserve"> v </w:t>
      </w:r>
      <w:proofErr w:type="spellStart"/>
      <w:r w:rsidRPr="00321C0C">
        <w:rPr>
          <w:sz w:val="20"/>
          <w:szCs w:val="20"/>
        </w:rPr>
        <w:t>hodnoceném</w:t>
      </w:r>
      <w:proofErr w:type="spellEnd"/>
      <w:r w:rsidRPr="00321C0C">
        <w:rPr>
          <w:sz w:val="20"/>
          <w:szCs w:val="20"/>
        </w:rPr>
        <w:t xml:space="preserve"> </w:t>
      </w:r>
      <w:proofErr w:type="spellStart"/>
      <w:r w:rsidRPr="00321C0C">
        <w:rPr>
          <w:sz w:val="20"/>
          <w:szCs w:val="20"/>
        </w:rPr>
        <w:t>období</w:t>
      </w:r>
      <w:proofErr w:type="spellEnd"/>
      <w:r w:rsidRPr="00321C0C">
        <w:rPr>
          <w:sz w:val="20"/>
          <w:szCs w:val="20"/>
        </w:rPr>
        <w:t xml:space="preserve"> 2014 </w:t>
      </w:r>
      <w:proofErr w:type="spellStart"/>
      <w:r w:rsidRPr="00321C0C">
        <w:rPr>
          <w:sz w:val="20"/>
          <w:szCs w:val="20"/>
        </w:rPr>
        <w:t>až</w:t>
      </w:r>
      <w:proofErr w:type="spellEnd"/>
      <w:r w:rsidRPr="00321C0C">
        <w:rPr>
          <w:sz w:val="20"/>
          <w:szCs w:val="20"/>
        </w:rPr>
        <w:t xml:space="preserve"> 2018. </w:t>
      </w:r>
      <w:proofErr w:type="spellStart"/>
      <w:r w:rsidRPr="00321C0C">
        <w:rPr>
          <w:sz w:val="20"/>
          <w:szCs w:val="20"/>
        </w:rPr>
        <w:t>Vykazovat</w:t>
      </w:r>
      <w:proofErr w:type="spellEnd"/>
      <w:r w:rsidRPr="00321C0C">
        <w:rPr>
          <w:sz w:val="20"/>
          <w:szCs w:val="20"/>
        </w:rPr>
        <w:t xml:space="preserve"> se </w:t>
      </w:r>
      <w:proofErr w:type="spellStart"/>
      <w:r w:rsidRPr="00321C0C">
        <w:rPr>
          <w:sz w:val="20"/>
          <w:szCs w:val="20"/>
        </w:rPr>
        <w:t>mohou</w:t>
      </w:r>
      <w:proofErr w:type="spellEnd"/>
      <w:r w:rsidRPr="00321C0C">
        <w:rPr>
          <w:sz w:val="20"/>
          <w:szCs w:val="20"/>
        </w:rPr>
        <w:t xml:space="preserve"> </w:t>
      </w:r>
      <w:proofErr w:type="spellStart"/>
      <w:r w:rsidRPr="00321C0C">
        <w:rPr>
          <w:sz w:val="20"/>
          <w:szCs w:val="20"/>
        </w:rPr>
        <w:t>absolventi</w:t>
      </w:r>
      <w:proofErr w:type="spellEnd"/>
      <w:r w:rsidRPr="00321C0C">
        <w:rPr>
          <w:sz w:val="20"/>
          <w:szCs w:val="20"/>
        </w:rPr>
        <w:t xml:space="preserve">, </w:t>
      </w:r>
      <w:proofErr w:type="spellStart"/>
      <w:r w:rsidRPr="00321C0C">
        <w:rPr>
          <w:sz w:val="20"/>
          <w:szCs w:val="20"/>
        </w:rPr>
        <w:t>kteří</w:t>
      </w:r>
      <w:proofErr w:type="spellEnd"/>
      <w:r w:rsidRPr="00321C0C">
        <w:rPr>
          <w:sz w:val="20"/>
          <w:szCs w:val="20"/>
        </w:rPr>
        <w:t xml:space="preserve"> </w:t>
      </w:r>
      <w:proofErr w:type="spellStart"/>
      <w:r w:rsidRPr="00321C0C">
        <w:rPr>
          <w:sz w:val="20"/>
          <w:szCs w:val="20"/>
        </w:rPr>
        <w:t>absolvovali</w:t>
      </w:r>
      <w:proofErr w:type="spellEnd"/>
      <w:r w:rsidRPr="00321C0C">
        <w:rPr>
          <w:sz w:val="20"/>
          <w:szCs w:val="20"/>
        </w:rPr>
        <w:t xml:space="preserve"> v </w:t>
      </w:r>
      <w:proofErr w:type="spellStart"/>
      <w:r w:rsidRPr="00321C0C">
        <w:rPr>
          <w:sz w:val="20"/>
          <w:szCs w:val="20"/>
        </w:rPr>
        <w:t>hodnoceném</w:t>
      </w:r>
      <w:proofErr w:type="spellEnd"/>
      <w:r w:rsidRPr="00321C0C">
        <w:rPr>
          <w:sz w:val="20"/>
          <w:szCs w:val="20"/>
        </w:rPr>
        <w:t xml:space="preserve"> </w:t>
      </w:r>
      <w:proofErr w:type="spellStart"/>
      <w:r w:rsidRPr="00321C0C">
        <w:rPr>
          <w:sz w:val="20"/>
          <w:szCs w:val="20"/>
        </w:rPr>
        <w:t>období</w:t>
      </w:r>
      <w:proofErr w:type="spellEnd"/>
      <w:r w:rsidRPr="00321C0C">
        <w:rPr>
          <w:sz w:val="20"/>
          <w:szCs w:val="20"/>
        </w:rPr>
        <w:t xml:space="preserve"> </w:t>
      </w:r>
      <w:proofErr w:type="spellStart"/>
      <w:r w:rsidRPr="00321C0C">
        <w:rPr>
          <w:sz w:val="20"/>
          <w:szCs w:val="20"/>
        </w:rPr>
        <w:t>anebo</w:t>
      </w:r>
      <w:proofErr w:type="spellEnd"/>
      <w:r w:rsidRPr="00321C0C">
        <w:rPr>
          <w:sz w:val="20"/>
          <w:szCs w:val="20"/>
        </w:rPr>
        <w:t xml:space="preserve"> v </w:t>
      </w:r>
      <w:proofErr w:type="spellStart"/>
      <w:r w:rsidRPr="00321C0C">
        <w:rPr>
          <w:sz w:val="20"/>
          <w:szCs w:val="20"/>
        </w:rPr>
        <w:t>období</w:t>
      </w:r>
      <w:proofErr w:type="spellEnd"/>
      <w:r w:rsidRPr="00321C0C">
        <w:rPr>
          <w:sz w:val="20"/>
          <w:szCs w:val="20"/>
        </w:rPr>
        <w:t xml:space="preserve"> </w:t>
      </w:r>
      <w:proofErr w:type="spellStart"/>
      <w:r w:rsidRPr="00321C0C">
        <w:rPr>
          <w:sz w:val="20"/>
          <w:szCs w:val="20"/>
        </w:rPr>
        <w:t>pěti</w:t>
      </w:r>
      <w:proofErr w:type="spellEnd"/>
      <w:r w:rsidRPr="00321C0C">
        <w:rPr>
          <w:sz w:val="20"/>
          <w:szCs w:val="20"/>
        </w:rPr>
        <w:t xml:space="preserve"> let </w:t>
      </w:r>
      <w:proofErr w:type="spellStart"/>
      <w:r w:rsidRPr="00321C0C">
        <w:rPr>
          <w:sz w:val="20"/>
          <w:szCs w:val="20"/>
        </w:rPr>
        <w:t>před</w:t>
      </w:r>
      <w:proofErr w:type="spellEnd"/>
      <w:r w:rsidRPr="00321C0C">
        <w:rPr>
          <w:sz w:val="20"/>
          <w:szCs w:val="20"/>
        </w:rPr>
        <w:t xml:space="preserve"> </w:t>
      </w:r>
      <w:proofErr w:type="spellStart"/>
      <w:r w:rsidRPr="00321C0C">
        <w:rPr>
          <w:sz w:val="20"/>
          <w:szCs w:val="20"/>
        </w:rPr>
        <w:t>hodnoceným</w:t>
      </w:r>
      <w:proofErr w:type="spellEnd"/>
      <w:r w:rsidRPr="00321C0C">
        <w:rPr>
          <w:sz w:val="20"/>
          <w:szCs w:val="20"/>
        </w:rPr>
        <w:t xml:space="preserve"> </w:t>
      </w:r>
      <w:proofErr w:type="spellStart"/>
      <w:r w:rsidRPr="00321C0C">
        <w:rPr>
          <w:sz w:val="20"/>
          <w:szCs w:val="20"/>
        </w:rPr>
        <w:t>obdobím</w:t>
      </w:r>
      <w:proofErr w:type="spellEnd"/>
      <w:r w:rsidRPr="00321C0C">
        <w:rPr>
          <w:sz w:val="20"/>
          <w:szCs w:val="20"/>
        </w:rPr>
        <w:t xml:space="preserve"> (</w:t>
      </w:r>
      <w:proofErr w:type="spellStart"/>
      <w:r w:rsidRPr="00321C0C">
        <w:rPr>
          <w:sz w:val="20"/>
          <w:szCs w:val="20"/>
        </w:rPr>
        <w:t>tedy</w:t>
      </w:r>
      <w:proofErr w:type="spellEnd"/>
      <w:r w:rsidRPr="00321C0C">
        <w:rPr>
          <w:sz w:val="20"/>
          <w:szCs w:val="20"/>
        </w:rPr>
        <w:t xml:space="preserve"> </w:t>
      </w:r>
      <w:proofErr w:type="spellStart"/>
      <w:r w:rsidRPr="00321C0C">
        <w:rPr>
          <w:sz w:val="20"/>
          <w:szCs w:val="20"/>
        </w:rPr>
        <w:t>počínaje</w:t>
      </w:r>
      <w:proofErr w:type="spellEnd"/>
      <w:r w:rsidRPr="00321C0C">
        <w:rPr>
          <w:sz w:val="20"/>
          <w:szCs w:val="20"/>
        </w:rPr>
        <w:t xml:space="preserve"> </w:t>
      </w:r>
      <w:proofErr w:type="spellStart"/>
      <w:r w:rsidRPr="00321C0C">
        <w:rPr>
          <w:sz w:val="20"/>
          <w:szCs w:val="20"/>
        </w:rPr>
        <w:t>rokem</w:t>
      </w:r>
      <w:proofErr w:type="spellEnd"/>
      <w:r w:rsidRPr="00321C0C">
        <w:rPr>
          <w:sz w:val="20"/>
          <w:szCs w:val="20"/>
        </w:rPr>
        <w:t xml:space="preserve"> 2009). V </w:t>
      </w:r>
      <w:proofErr w:type="spellStart"/>
      <w:r w:rsidRPr="00321C0C">
        <w:rPr>
          <w:sz w:val="20"/>
          <w:szCs w:val="20"/>
        </w:rPr>
        <w:t>případě</w:t>
      </w:r>
      <w:proofErr w:type="spellEnd"/>
      <w:r w:rsidRPr="00321C0C">
        <w:rPr>
          <w:sz w:val="20"/>
          <w:szCs w:val="20"/>
        </w:rPr>
        <w:t xml:space="preserve">, </w:t>
      </w:r>
      <w:proofErr w:type="spellStart"/>
      <w:r w:rsidRPr="00321C0C">
        <w:rPr>
          <w:sz w:val="20"/>
          <w:szCs w:val="20"/>
        </w:rPr>
        <w:t>že</w:t>
      </w:r>
      <w:proofErr w:type="spellEnd"/>
      <w:r w:rsidRPr="00321C0C">
        <w:rPr>
          <w:sz w:val="20"/>
          <w:szCs w:val="20"/>
        </w:rPr>
        <w:t xml:space="preserve"> </w:t>
      </w:r>
      <w:proofErr w:type="spellStart"/>
      <w:r w:rsidRPr="00321C0C">
        <w:rPr>
          <w:sz w:val="20"/>
          <w:szCs w:val="20"/>
        </w:rPr>
        <w:t>jména</w:t>
      </w:r>
      <w:proofErr w:type="spellEnd"/>
      <w:r w:rsidRPr="00321C0C">
        <w:rPr>
          <w:sz w:val="20"/>
          <w:szCs w:val="20"/>
        </w:rPr>
        <w:t xml:space="preserve"> </w:t>
      </w:r>
      <w:proofErr w:type="spellStart"/>
      <w:r w:rsidRPr="00321C0C">
        <w:rPr>
          <w:sz w:val="20"/>
          <w:szCs w:val="20"/>
        </w:rPr>
        <w:t>absolventů</w:t>
      </w:r>
      <w:proofErr w:type="spellEnd"/>
      <w:r w:rsidRPr="00321C0C">
        <w:rPr>
          <w:sz w:val="20"/>
          <w:szCs w:val="20"/>
        </w:rPr>
        <w:t xml:space="preserve"> </w:t>
      </w:r>
      <w:proofErr w:type="spellStart"/>
      <w:r w:rsidRPr="00321C0C">
        <w:rPr>
          <w:sz w:val="20"/>
          <w:szCs w:val="20"/>
        </w:rPr>
        <w:t>nejsou</w:t>
      </w:r>
      <w:proofErr w:type="spellEnd"/>
      <w:r w:rsidRPr="00321C0C">
        <w:rPr>
          <w:sz w:val="20"/>
          <w:szCs w:val="20"/>
        </w:rPr>
        <w:t xml:space="preserve"> </w:t>
      </w:r>
      <w:proofErr w:type="spellStart"/>
      <w:r w:rsidRPr="00321C0C">
        <w:rPr>
          <w:sz w:val="20"/>
          <w:szCs w:val="20"/>
        </w:rPr>
        <w:t>veřejně</w:t>
      </w:r>
      <w:proofErr w:type="spellEnd"/>
      <w:r w:rsidRPr="00321C0C">
        <w:rPr>
          <w:sz w:val="20"/>
          <w:szCs w:val="20"/>
        </w:rPr>
        <w:t xml:space="preserve"> </w:t>
      </w:r>
      <w:proofErr w:type="spellStart"/>
      <w:r w:rsidRPr="00321C0C">
        <w:rPr>
          <w:sz w:val="20"/>
          <w:szCs w:val="20"/>
        </w:rPr>
        <w:t>dostupná</w:t>
      </w:r>
      <w:proofErr w:type="spellEnd"/>
      <w:r w:rsidRPr="00321C0C">
        <w:rPr>
          <w:sz w:val="20"/>
          <w:szCs w:val="20"/>
        </w:rPr>
        <w:t xml:space="preserve">, </w:t>
      </w:r>
      <w:proofErr w:type="spellStart"/>
      <w:r w:rsidRPr="00321C0C">
        <w:rPr>
          <w:sz w:val="20"/>
          <w:szCs w:val="20"/>
        </w:rPr>
        <w:t>uveďte</w:t>
      </w:r>
      <w:proofErr w:type="spellEnd"/>
      <w:r w:rsidRPr="00321C0C">
        <w:rPr>
          <w:sz w:val="20"/>
          <w:szCs w:val="20"/>
        </w:rPr>
        <w:t xml:space="preserve"> </w:t>
      </w:r>
      <w:proofErr w:type="spellStart"/>
      <w:r w:rsidRPr="00321C0C">
        <w:rPr>
          <w:sz w:val="20"/>
          <w:szCs w:val="20"/>
        </w:rPr>
        <w:t>pouze</w:t>
      </w:r>
      <w:proofErr w:type="spellEnd"/>
      <w:r w:rsidRPr="00321C0C">
        <w:rPr>
          <w:sz w:val="20"/>
          <w:szCs w:val="20"/>
        </w:rPr>
        <w:t xml:space="preserve"> </w:t>
      </w:r>
      <w:proofErr w:type="spellStart"/>
      <w:r w:rsidRPr="00321C0C">
        <w:rPr>
          <w:sz w:val="20"/>
          <w:szCs w:val="20"/>
        </w:rPr>
        <w:t>jejich</w:t>
      </w:r>
      <w:proofErr w:type="spellEnd"/>
      <w:r w:rsidRPr="00321C0C">
        <w:rPr>
          <w:sz w:val="20"/>
          <w:szCs w:val="20"/>
        </w:rPr>
        <w:t xml:space="preserve"> </w:t>
      </w:r>
      <w:proofErr w:type="spellStart"/>
      <w:r w:rsidRPr="00321C0C">
        <w:rPr>
          <w:sz w:val="20"/>
          <w:szCs w:val="20"/>
        </w:rPr>
        <w:t>iniciály</w:t>
      </w:r>
      <w:proofErr w:type="spellEnd"/>
      <w:r w:rsidRPr="00321C0C">
        <w:rPr>
          <w:sz w:val="20"/>
          <w:szCs w:val="20"/>
        </w:rPr>
        <w:t>.</w:t>
      </w:r>
    </w:p>
    <w:p w14:paraId="6656541B" w14:textId="77777777" w:rsidR="00321C0C" w:rsidRPr="00321C0C" w:rsidRDefault="00321C0C" w:rsidP="00321C0C">
      <w:pPr>
        <w:contextualSpacing/>
        <w:jc w:val="both"/>
        <w:rPr>
          <w:rFonts w:cs="Times New Roman"/>
          <w:b/>
          <w:sz w:val="22"/>
          <w:szCs w:val="22"/>
          <w:lang w:val="cs-CZ"/>
        </w:rPr>
      </w:pPr>
    </w:p>
    <w:p w14:paraId="18E57E2E" w14:textId="77777777" w:rsidR="00321C0C" w:rsidRPr="00321C0C" w:rsidRDefault="00321C0C" w:rsidP="00321C0C">
      <w:pPr>
        <w:contextualSpacing/>
        <w:jc w:val="both"/>
        <w:rPr>
          <w:rFonts w:cs="Times New Roman"/>
          <w:b/>
          <w:lang w:val="cs-CZ"/>
        </w:rPr>
      </w:pPr>
      <w:r w:rsidRPr="00321C0C">
        <w:rPr>
          <w:rFonts w:cs="Times New Roman"/>
          <w:b/>
          <w:lang w:val="cs-CZ"/>
        </w:rPr>
        <w:lastRenderedPageBreak/>
        <w:t>4.17 Struktura lidských zdrojů</w:t>
      </w:r>
    </w:p>
    <w:p w14:paraId="3726738B" w14:textId="77777777" w:rsidR="00321C0C" w:rsidRPr="00321C0C" w:rsidRDefault="00321C0C" w:rsidP="00321C0C">
      <w:pPr>
        <w:contextualSpacing/>
        <w:jc w:val="both"/>
        <w:rPr>
          <w:rFonts w:cs="Times New Roman"/>
          <w:sz w:val="22"/>
          <w:szCs w:val="22"/>
          <w:lang w:val="cs-CZ"/>
        </w:rPr>
      </w:pPr>
    </w:p>
    <w:p w14:paraId="592B6440" w14:textId="77777777" w:rsidR="00321C0C" w:rsidRPr="00321C0C" w:rsidRDefault="00321C0C" w:rsidP="00321C0C">
      <w:pPr>
        <w:contextualSpacing/>
        <w:jc w:val="both"/>
        <w:rPr>
          <w:rFonts w:cstheme="minorHAnsi"/>
          <w:sz w:val="22"/>
          <w:szCs w:val="22"/>
          <w:lang w:val="cs-CZ"/>
        </w:rPr>
      </w:pPr>
      <w:r w:rsidRPr="00321C0C">
        <w:rPr>
          <w:rFonts w:cs="Times New Roman"/>
          <w:sz w:val="22"/>
          <w:szCs w:val="22"/>
          <w:lang w:val="cs-CZ"/>
        </w:rPr>
        <w:t xml:space="preserve">4.17.1 Věková struktura pracovníků vysoké školy, kteří se podíleli na VaVaI, a jejich struktura podle pracovního zařazení a genderu v roce 2014 </w:t>
      </w:r>
      <w:r w:rsidRPr="00321C0C">
        <w:rPr>
          <w:rFonts w:cstheme="minorHAnsi"/>
          <w:sz w:val="22"/>
          <w:szCs w:val="22"/>
          <w:lang w:val="cs-CZ"/>
        </w:rPr>
        <w:t>(počty fyzických zaměstnanců a pracovníků)</w:t>
      </w:r>
    </w:p>
    <w:p w14:paraId="70B1D366" w14:textId="77777777" w:rsidR="00321C0C" w:rsidRPr="00321C0C" w:rsidRDefault="00321C0C" w:rsidP="00321C0C">
      <w:pPr>
        <w:contextualSpacing/>
        <w:jc w:val="both"/>
        <w:rPr>
          <w:rFonts w:cs="Times New Roman"/>
          <w:b/>
          <w:sz w:val="22"/>
          <w:szCs w:val="22"/>
          <w:u w:val="single"/>
          <w:lang w:val="cs-CZ"/>
        </w:rPr>
      </w:pPr>
    </w:p>
    <w:tbl>
      <w:tblPr>
        <w:tblStyle w:val="Mkatabulky2"/>
        <w:tblW w:w="10773" w:type="dxa"/>
        <w:jc w:val="center"/>
        <w:tblLayout w:type="fixed"/>
        <w:tblLook w:val="04A0" w:firstRow="1" w:lastRow="0" w:firstColumn="1" w:lastColumn="0" w:noHBand="0" w:noVBand="1"/>
      </w:tblPr>
      <w:tblGrid>
        <w:gridCol w:w="2295"/>
        <w:gridCol w:w="707"/>
        <w:gridCol w:w="709"/>
        <w:gridCol w:w="707"/>
        <w:gridCol w:w="707"/>
        <w:gridCol w:w="706"/>
        <w:gridCol w:w="706"/>
        <w:gridCol w:w="706"/>
        <w:gridCol w:w="706"/>
        <w:gridCol w:w="706"/>
        <w:gridCol w:w="706"/>
        <w:gridCol w:w="706"/>
        <w:gridCol w:w="706"/>
      </w:tblGrid>
      <w:tr w:rsidR="00321C0C" w:rsidRPr="00321C0C" w14:paraId="330970F9" w14:textId="77777777" w:rsidTr="0096628E">
        <w:trPr>
          <w:jc w:val="center"/>
        </w:trPr>
        <w:tc>
          <w:tcPr>
            <w:tcW w:w="229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107DC53" w14:textId="77777777" w:rsidR="00321C0C" w:rsidRPr="00321C0C" w:rsidRDefault="00321C0C" w:rsidP="00321C0C">
            <w:pPr>
              <w:jc w:val="both"/>
              <w:rPr>
                <w:rFonts w:cstheme="minorHAnsi"/>
                <w:sz w:val="20"/>
                <w:szCs w:val="20"/>
              </w:rPr>
            </w:pPr>
            <w:r w:rsidRPr="00321C0C">
              <w:rPr>
                <w:rFonts w:cstheme="minorHAnsi"/>
                <w:sz w:val="20"/>
                <w:szCs w:val="20"/>
              </w:rPr>
              <w:t>Akademická/</w:t>
            </w:r>
          </w:p>
          <w:p w14:paraId="559C481F" w14:textId="77777777" w:rsidR="00321C0C" w:rsidRPr="00321C0C" w:rsidRDefault="00321C0C" w:rsidP="00321C0C">
            <w:pPr>
              <w:jc w:val="both"/>
              <w:rPr>
                <w:rFonts w:cstheme="minorHAnsi"/>
                <w:sz w:val="20"/>
                <w:szCs w:val="20"/>
              </w:rPr>
            </w:pPr>
            <w:r w:rsidRPr="00321C0C">
              <w:rPr>
                <w:rFonts w:cstheme="minorHAnsi"/>
                <w:sz w:val="20"/>
                <w:szCs w:val="20"/>
              </w:rPr>
              <w:t>odborná pozice</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87C3B9" w14:textId="77777777" w:rsidR="00321C0C" w:rsidRPr="00321C0C" w:rsidRDefault="00321C0C" w:rsidP="00321C0C">
            <w:pPr>
              <w:jc w:val="both"/>
              <w:rPr>
                <w:rFonts w:cstheme="minorHAnsi"/>
                <w:sz w:val="20"/>
                <w:szCs w:val="20"/>
              </w:rPr>
            </w:pPr>
            <w:r w:rsidRPr="00321C0C">
              <w:rPr>
                <w:rFonts w:cstheme="minorHAnsi"/>
                <w:sz w:val="20"/>
                <w:szCs w:val="20"/>
              </w:rPr>
              <w:t>Do 29 let</w:t>
            </w:r>
          </w:p>
        </w:tc>
        <w:tc>
          <w:tcPr>
            <w:tcW w:w="14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6C70B7" w14:textId="77777777" w:rsidR="00321C0C" w:rsidRPr="00321C0C" w:rsidRDefault="00321C0C" w:rsidP="00321C0C">
            <w:pPr>
              <w:jc w:val="both"/>
              <w:rPr>
                <w:rFonts w:cstheme="minorHAnsi"/>
                <w:sz w:val="20"/>
                <w:szCs w:val="20"/>
              </w:rPr>
            </w:pPr>
            <w:r w:rsidRPr="00321C0C">
              <w:rPr>
                <w:rFonts w:cstheme="minorHAnsi"/>
                <w:sz w:val="20"/>
                <w:szCs w:val="20"/>
              </w:rPr>
              <w:t>30 – 39 let</w:t>
            </w:r>
          </w:p>
        </w:tc>
        <w:tc>
          <w:tcPr>
            <w:tcW w:w="14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2CF486" w14:textId="77777777" w:rsidR="00321C0C" w:rsidRPr="00321C0C" w:rsidRDefault="00321C0C" w:rsidP="00321C0C">
            <w:pPr>
              <w:jc w:val="both"/>
              <w:rPr>
                <w:rFonts w:cstheme="minorHAnsi"/>
                <w:sz w:val="20"/>
                <w:szCs w:val="20"/>
              </w:rPr>
            </w:pPr>
            <w:r w:rsidRPr="00321C0C">
              <w:rPr>
                <w:rFonts w:cstheme="minorHAnsi"/>
                <w:sz w:val="20"/>
                <w:szCs w:val="20"/>
              </w:rPr>
              <w:t>40 – 49 let</w:t>
            </w:r>
          </w:p>
        </w:tc>
        <w:tc>
          <w:tcPr>
            <w:tcW w:w="14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AD7C91" w14:textId="77777777" w:rsidR="00321C0C" w:rsidRPr="00321C0C" w:rsidRDefault="00321C0C" w:rsidP="00321C0C">
            <w:pPr>
              <w:jc w:val="both"/>
              <w:rPr>
                <w:rFonts w:cstheme="minorHAnsi"/>
                <w:sz w:val="20"/>
                <w:szCs w:val="20"/>
              </w:rPr>
            </w:pPr>
            <w:r w:rsidRPr="00321C0C">
              <w:rPr>
                <w:rFonts w:cstheme="minorHAnsi"/>
                <w:sz w:val="20"/>
                <w:szCs w:val="20"/>
              </w:rPr>
              <w:t>50 – 59 let</w:t>
            </w:r>
          </w:p>
        </w:tc>
        <w:tc>
          <w:tcPr>
            <w:tcW w:w="14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908FE1" w14:textId="77777777" w:rsidR="00321C0C" w:rsidRPr="00321C0C" w:rsidRDefault="00321C0C" w:rsidP="00321C0C">
            <w:pPr>
              <w:jc w:val="both"/>
              <w:rPr>
                <w:rFonts w:cstheme="minorHAnsi"/>
                <w:sz w:val="20"/>
                <w:szCs w:val="20"/>
              </w:rPr>
            </w:pPr>
            <w:r w:rsidRPr="00321C0C">
              <w:rPr>
                <w:rFonts w:cstheme="minorHAnsi"/>
                <w:sz w:val="20"/>
                <w:szCs w:val="20"/>
              </w:rPr>
              <w:t>60 – 69 let</w:t>
            </w:r>
          </w:p>
        </w:tc>
        <w:tc>
          <w:tcPr>
            <w:tcW w:w="14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ECA1D7" w14:textId="77777777" w:rsidR="00321C0C" w:rsidRPr="00321C0C" w:rsidRDefault="00321C0C" w:rsidP="00321C0C">
            <w:pPr>
              <w:jc w:val="both"/>
              <w:rPr>
                <w:rFonts w:cstheme="minorHAnsi"/>
                <w:sz w:val="20"/>
                <w:szCs w:val="20"/>
              </w:rPr>
            </w:pPr>
            <w:r w:rsidRPr="00321C0C">
              <w:rPr>
                <w:rFonts w:cstheme="minorHAnsi"/>
                <w:sz w:val="20"/>
                <w:szCs w:val="20"/>
              </w:rPr>
              <w:t>70 a více let</w:t>
            </w:r>
          </w:p>
        </w:tc>
      </w:tr>
      <w:tr w:rsidR="00321C0C" w:rsidRPr="00321C0C" w14:paraId="2B9DC46C" w14:textId="77777777" w:rsidTr="0096628E">
        <w:trPr>
          <w:jc w:val="center"/>
        </w:trPr>
        <w:tc>
          <w:tcPr>
            <w:tcW w:w="2295"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0C3FDF52" w14:textId="77777777" w:rsidR="00321C0C" w:rsidRPr="00321C0C" w:rsidRDefault="00321C0C" w:rsidP="00321C0C">
            <w:pPr>
              <w:jc w:val="both"/>
              <w:rPr>
                <w:rFonts w:cstheme="minorHAnsi"/>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66FE9F" w14:textId="77777777" w:rsidR="00321C0C" w:rsidRPr="00321C0C" w:rsidRDefault="00321C0C" w:rsidP="00321C0C">
            <w:pPr>
              <w:jc w:val="both"/>
              <w:rPr>
                <w:rFonts w:cstheme="minorHAnsi"/>
                <w:sz w:val="20"/>
                <w:szCs w:val="20"/>
              </w:rPr>
            </w:pPr>
            <w:r w:rsidRPr="00321C0C">
              <w:rPr>
                <w:rFonts w:cstheme="minorHAnsi"/>
                <w:sz w:val="20"/>
                <w:szCs w:val="20"/>
              </w:rPr>
              <w:t>Cel.</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42C538" w14:textId="77777777" w:rsidR="00321C0C" w:rsidRPr="00321C0C" w:rsidRDefault="00321C0C" w:rsidP="00321C0C">
            <w:pPr>
              <w:jc w:val="both"/>
              <w:rPr>
                <w:rFonts w:cstheme="minorHAnsi"/>
                <w:sz w:val="20"/>
                <w:szCs w:val="20"/>
              </w:rPr>
            </w:pPr>
            <w:r w:rsidRPr="00321C0C">
              <w:rPr>
                <w:rFonts w:cstheme="minorHAnsi"/>
                <w:sz w:val="20"/>
                <w:szCs w:val="20"/>
              </w:rPr>
              <w:t>Ženy</w:t>
            </w: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94DCAB" w14:textId="77777777" w:rsidR="00321C0C" w:rsidRPr="00321C0C" w:rsidRDefault="00321C0C" w:rsidP="00321C0C">
            <w:pPr>
              <w:jc w:val="both"/>
              <w:rPr>
                <w:rFonts w:cstheme="minorHAnsi"/>
                <w:sz w:val="20"/>
                <w:szCs w:val="20"/>
              </w:rPr>
            </w:pPr>
            <w:r w:rsidRPr="00321C0C">
              <w:rPr>
                <w:rFonts w:cstheme="minorHAnsi"/>
                <w:sz w:val="20"/>
                <w:szCs w:val="20"/>
              </w:rPr>
              <w:t>Cel.</w:t>
            </w: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E27878" w14:textId="77777777" w:rsidR="00321C0C" w:rsidRPr="00321C0C" w:rsidRDefault="00321C0C" w:rsidP="00321C0C">
            <w:pPr>
              <w:jc w:val="both"/>
              <w:rPr>
                <w:rFonts w:cstheme="minorHAnsi"/>
                <w:sz w:val="20"/>
                <w:szCs w:val="20"/>
              </w:rPr>
            </w:pPr>
            <w:r w:rsidRPr="00321C0C">
              <w:rPr>
                <w:rFonts w:cstheme="minorHAnsi"/>
                <w:sz w:val="20"/>
                <w:szCs w:val="20"/>
              </w:rPr>
              <w:t>Ženy</w:t>
            </w: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346019" w14:textId="77777777" w:rsidR="00321C0C" w:rsidRPr="00321C0C" w:rsidRDefault="00321C0C" w:rsidP="00321C0C">
            <w:pPr>
              <w:jc w:val="both"/>
              <w:rPr>
                <w:rFonts w:cstheme="minorHAnsi"/>
                <w:sz w:val="20"/>
                <w:szCs w:val="20"/>
              </w:rPr>
            </w:pPr>
            <w:r w:rsidRPr="00321C0C">
              <w:rPr>
                <w:rFonts w:cstheme="minorHAnsi"/>
                <w:sz w:val="20"/>
                <w:szCs w:val="20"/>
              </w:rPr>
              <w:t>Cel.</w:t>
            </w: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576403" w14:textId="77777777" w:rsidR="00321C0C" w:rsidRPr="00321C0C" w:rsidRDefault="00321C0C" w:rsidP="00321C0C">
            <w:pPr>
              <w:jc w:val="both"/>
              <w:rPr>
                <w:rFonts w:cstheme="minorHAnsi"/>
                <w:sz w:val="20"/>
                <w:szCs w:val="20"/>
              </w:rPr>
            </w:pPr>
            <w:r w:rsidRPr="00321C0C">
              <w:rPr>
                <w:rFonts w:cstheme="minorHAnsi"/>
                <w:sz w:val="20"/>
                <w:szCs w:val="20"/>
              </w:rPr>
              <w:t>Ženy</w:t>
            </w: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A4CB7E" w14:textId="77777777" w:rsidR="00321C0C" w:rsidRPr="00321C0C" w:rsidRDefault="00321C0C" w:rsidP="00321C0C">
            <w:pPr>
              <w:jc w:val="both"/>
              <w:rPr>
                <w:rFonts w:cstheme="minorHAnsi"/>
                <w:sz w:val="20"/>
                <w:szCs w:val="20"/>
              </w:rPr>
            </w:pPr>
            <w:r w:rsidRPr="00321C0C">
              <w:rPr>
                <w:rFonts w:cstheme="minorHAnsi"/>
                <w:sz w:val="20"/>
                <w:szCs w:val="20"/>
              </w:rPr>
              <w:t>Cel.</w:t>
            </w: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1F52BF" w14:textId="77777777" w:rsidR="00321C0C" w:rsidRPr="00321C0C" w:rsidRDefault="00321C0C" w:rsidP="00321C0C">
            <w:pPr>
              <w:jc w:val="both"/>
              <w:rPr>
                <w:rFonts w:cstheme="minorHAnsi"/>
                <w:sz w:val="20"/>
                <w:szCs w:val="20"/>
              </w:rPr>
            </w:pPr>
            <w:r w:rsidRPr="00321C0C">
              <w:rPr>
                <w:rFonts w:cstheme="minorHAnsi"/>
                <w:sz w:val="20"/>
                <w:szCs w:val="20"/>
              </w:rPr>
              <w:t>Ženy</w:t>
            </w: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B66F81" w14:textId="77777777" w:rsidR="00321C0C" w:rsidRPr="00321C0C" w:rsidRDefault="00321C0C" w:rsidP="00321C0C">
            <w:pPr>
              <w:jc w:val="both"/>
              <w:rPr>
                <w:rFonts w:cstheme="minorHAnsi"/>
                <w:sz w:val="20"/>
                <w:szCs w:val="20"/>
              </w:rPr>
            </w:pPr>
            <w:r w:rsidRPr="00321C0C">
              <w:rPr>
                <w:rFonts w:cstheme="minorHAnsi"/>
                <w:sz w:val="20"/>
                <w:szCs w:val="20"/>
              </w:rPr>
              <w:t>Cel.</w:t>
            </w: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E0AD76" w14:textId="77777777" w:rsidR="00321C0C" w:rsidRPr="00321C0C" w:rsidRDefault="00321C0C" w:rsidP="00321C0C">
            <w:pPr>
              <w:jc w:val="both"/>
              <w:rPr>
                <w:rFonts w:cstheme="minorHAnsi"/>
                <w:sz w:val="20"/>
                <w:szCs w:val="20"/>
              </w:rPr>
            </w:pPr>
            <w:r w:rsidRPr="00321C0C">
              <w:rPr>
                <w:rFonts w:cstheme="minorHAnsi"/>
                <w:sz w:val="20"/>
                <w:szCs w:val="20"/>
              </w:rPr>
              <w:t>Ženy</w:t>
            </w: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6B5C9C" w14:textId="77777777" w:rsidR="00321C0C" w:rsidRPr="00321C0C" w:rsidRDefault="00321C0C" w:rsidP="00321C0C">
            <w:pPr>
              <w:jc w:val="both"/>
              <w:rPr>
                <w:rFonts w:cstheme="minorHAnsi"/>
                <w:sz w:val="20"/>
                <w:szCs w:val="20"/>
              </w:rPr>
            </w:pPr>
            <w:r w:rsidRPr="00321C0C">
              <w:rPr>
                <w:rFonts w:cstheme="minorHAnsi"/>
                <w:sz w:val="20"/>
                <w:szCs w:val="20"/>
              </w:rPr>
              <w:t>Cel.</w:t>
            </w: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CCB738" w14:textId="77777777" w:rsidR="00321C0C" w:rsidRPr="00321C0C" w:rsidRDefault="00321C0C" w:rsidP="00321C0C">
            <w:pPr>
              <w:jc w:val="both"/>
              <w:rPr>
                <w:rFonts w:cstheme="minorHAnsi"/>
                <w:sz w:val="20"/>
                <w:szCs w:val="20"/>
              </w:rPr>
            </w:pPr>
            <w:r w:rsidRPr="00321C0C">
              <w:rPr>
                <w:rFonts w:cstheme="minorHAnsi"/>
                <w:sz w:val="20"/>
                <w:szCs w:val="20"/>
              </w:rPr>
              <w:t>Ženy</w:t>
            </w:r>
          </w:p>
        </w:tc>
      </w:tr>
      <w:tr w:rsidR="00321C0C" w:rsidRPr="00321C0C" w14:paraId="6EFCB760" w14:textId="77777777" w:rsidTr="0096628E">
        <w:trPr>
          <w:jc w:val="center"/>
        </w:trPr>
        <w:tc>
          <w:tcPr>
            <w:tcW w:w="22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853E58" w14:textId="77777777" w:rsidR="00321C0C" w:rsidRPr="00321C0C" w:rsidRDefault="00321C0C" w:rsidP="00321C0C">
            <w:pPr>
              <w:jc w:val="both"/>
              <w:rPr>
                <w:rFonts w:cstheme="minorHAnsi"/>
                <w:sz w:val="20"/>
                <w:szCs w:val="20"/>
              </w:rPr>
            </w:pPr>
            <w:r w:rsidRPr="00321C0C">
              <w:rPr>
                <w:rFonts w:cstheme="minorHAnsi"/>
                <w:sz w:val="20"/>
                <w:szCs w:val="20"/>
              </w:rPr>
              <w:t>Profesoři</w:t>
            </w: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B5B160" w14:textId="77777777" w:rsidR="00321C0C" w:rsidRPr="00321C0C" w:rsidRDefault="00321C0C" w:rsidP="00321C0C">
            <w:pPr>
              <w:jc w:val="both"/>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628FEF" w14:textId="77777777" w:rsidR="00321C0C" w:rsidRPr="00321C0C" w:rsidRDefault="00321C0C" w:rsidP="00321C0C">
            <w:pPr>
              <w:jc w:val="both"/>
              <w:rPr>
                <w:rFonts w:cstheme="minorHAnsi"/>
                <w:i/>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38986B" w14:textId="77777777" w:rsidR="00321C0C" w:rsidRPr="00321C0C" w:rsidRDefault="00321C0C" w:rsidP="00321C0C">
            <w:pPr>
              <w:jc w:val="both"/>
              <w:rPr>
                <w:rFonts w:cstheme="minorHAnsi"/>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3C1D7B"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43E501"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B531BA" w14:textId="77777777" w:rsidR="00321C0C" w:rsidRPr="00321C0C" w:rsidRDefault="00321C0C" w:rsidP="00321C0C">
            <w:pPr>
              <w:jc w:val="both"/>
              <w:rPr>
                <w:rFonts w:cstheme="minorHAnsi"/>
                <w: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4188A8"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2477EF" w14:textId="77777777" w:rsidR="00321C0C" w:rsidRPr="00321C0C" w:rsidRDefault="00321C0C" w:rsidP="00321C0C">
            <w:pPr>
              <w:jc w:val="both"/>
              <w:rPr>
                <w:rFonts w:cstheme="minorHAnsi"/>
                <w: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1A0308"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F349D0" w14:textId="77777777" w:rsidR="00321C0C" w:rsidRPr="00321C0C" w:rsidRDefault="00321C0C" w:rsidP="00321C0C">
            <w:pPr>
              <w:jc w:val="both"/>
              <w:rPr>
                <w:rFonts w:cstheme="minorHAnsi"/>
                <w: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63666F"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5DA12B" w14:textId="77777777" w:rsidR="00321C0C" w:rsidRPr="00321C0C" w:rsidRDefault="00321C0C" w:rsidP="00321C0C">
            <w:pPr>
              <w:jc w:val="both"/>
              <w:rPr>
                <w:rFonts w:cstheme="minorHAnsi"/>
                <w:sz w:val="20"/>
                <w:szCs w:val="20"/>
              </w:rPr>
            </w:pPr>
          </w:p>
        </w:tc>
      </w:tr>
      <w:tr w:rsidR="00321C0C" w:rsidRPr="00321C0C" w14:paraId="7BF89DBF" w14:textId="77777777" w:rsidTr="0096628E">
        <w:trPr>
          <w:jc w:val="center"/>
        </w:trPr>
        <w:tc>
          <w:tcPr>
            <w:tcW w:w="22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13C606" w14:textId="77777777" w:rsidR="00321C0C" w:rsidRPr="00321C0C" w:rsidRDefault="00321C0C" w:rsidP="00321C0C">
            <w:pPr>
              <w:jc w:val="both"/>
              <w:rPr>
                <w:rFonts w:cstheme="minorHAnsi"/>
                <w:sz w:val="20"/>
                <w:szCs w:val="20"/>
              </w:rPr>
            </w:pPr>
            <w:r w:rsidRPr="00321C0C">
              <w:rPr>
                <w:rFonts w:cstheme="minorHAnsi"/>
                <w:sz w:val="20"/>
                <w:szCs w:val="20"/>
              </w:rPr>
              <w:t>Docenti</w:t>
            </w: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A0C09A" w14:textId="77777777" w:rsidR="00321C0C" w:rsidRPr="00321C0C" w:rsidRDefault="00321C0C" w:rsidP="00321C0C">
            <w:pPr>
              <w:jc w:val="both"/>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09A77D" w14:textId="77777777" w:rsidR="00321C0C" w:rsidRPr="00321C0C" w:rsidRDefault="00321C0C" w:rsidP="00321C0C">
            <w:pPr>
              <w:jc w:val="both"/>
              <w:rPr>
                <w:rFonts w:cstheme="minorHAnsi"/>
                <w:i/>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6B548E" w14:textId="77777777" w:rsidR="00321C0C" w:rsidRPr="00321C0C" w:rsidRDefault="00321C0C" w:rsidP="00321C0C">
            <w:pPr>
              <w:jc w:val="both"/>
              <w:rPr>
                <w:rFonts w:cstheme="minorHAnsi"/>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97A5DF"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C3577F"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0063CD" w14:textId="77777777" w:rsidR="00321C0C" w:rsidRPr="00321C0C" w:rsidRDefault="00321C0C" w:rsidP="00321C0C">
            <w:pPr>
              <w:jc w:val="both"/>
              <w:rPr>
                <w:rFonts w:cstheme="minorHAnsi"/>
                <w: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017FF3"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9643E6" w14:textId="77777777" w:rsidR="00321C0C" w:rsidRPr="00321C0C" w:rsidRDefault="00321C0C" w:rsidP="00321C0C">
            <w:pPr>
              <w:jc w:val="both"/>
              <w:rPr>
                <w:rFonts w:cstheme="minorHAnsi"/>
                <w: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B7B85A"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2840D2" w14:textId="77777777" w:rsidR="00321C0C" w:rsidRPr="00321C0C" w:rsidRDefault="00321C0C" w:rsidP="00321C0C">
            <w:pPr>
              <w:jc w:val="both"/>
              <w:rPr>
                <w:rFonts w:cstheme="minorHAnsi"/>
                <w: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B6FE3"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1028C2" w14:textId="77777777" w:rsidR="00321C0C" w:rsidRPr="00321C0C" w:rsidRDefault="00321C0C" w:rsidP="00321C0C">
            <w:pPr>
              <w:jc w:val="both"/>
              <w:rPr>
                <w:rFonts w:cstheme="minorHAnsi"/>
                <w:sz w:val="20"/>
                <w:szCs w:val="20"/>
              </w:rPr>
            </w:pPr>
          </w:p>
        </w:tc>
      </w:tr>
      <w:tr w:rsidR="00321C0C" w:rsidRPr="00321C0C" w14:paraId="26A38F11" w14:textId="77777777" w:rsidTr="0096628E">
        <w:trPr>
          <w:jc w:val="center"/>
        </w:trPr>
        <w:tc>
          <w:tcPr>
            <w:tcW w:w="22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C8B195" w14:textId="77777777" w:rsidR="00321C0C" w:rsidRPr="00321C0C" w:rsidRDefault="00321C0C" w:rsidP="00321C0C">
            <w:pPr>
              <w:jc w:val="both"/>
              <w:rPr>
                <w:rFonts w:cstheme="minorHAnsi"/>
                <w:sz w:val="20"/>
                <w:szCs w:val="20"/>
              </w:rPr>
            </w:pPr>
            <w:r w:rsidRPr="00321C0C">
              <w:rPr>
                <w:rFonts w:cstheme="minorHAnsi"/>
                <w:sz w:val="20"/>
                <w:szCs w:val="20"/>
              </w:rPr>
              <w:t>Odborní asistenti</w:t>
            </w: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516B16" w14:textId="77777777" w:rsidR="00321C0C" w:rsidRPr="00321C0C" w:rsidRDefault="00321C0C" w:rsidP="00321C0C">
            <w:pPr>
              <w:jc w:val="both"/>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85E92F" w14:textId="77777777" w:rsidR="00321C0C" w:rsidRPr="00321C0C" w:rsidRDefault="00321C0C" w:rsidP="00321C0C">
            <w:pPr>
              <w:jc w:val="both"/>
              <w:rPr>
                <w:rFonts w:cstheme="minorHAnsi"/>
                <w:i/>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4F80C5" w14:textId="77777777" w:rsidR="00321C0C" w:rsidRPr="00321C0C" w:rsidRDefault="00321C0C" w:rsidP="00321C0C">
            <w:pPr>
              <w:jc w:val="both"/>
              <w:rPr>
                <w:rFonts w:cstheme="minorHAnsi"/>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0BF776"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2120F1"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F9846F" w14:textId="77777777" w:rsidR="00321C0C" w:rsidRPr="00321C0C" w:rsidRDefault="00321C0C" w:rsidP="00321C0C">
            <w:pPr>
              <w:jc w:val="both"/>
              <w:rPr>
                <w:rFonts w:cstheme="minorHAnsi"/>
                <w: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5A69B8"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96980D" w14:textId="77777777" w:rsidR="00321C0C" w:rsidRPr="00321C0C" w:rsidRDefault="00321C0C" w:rsidP="00321C0C">
            <w:pPr>
              <w:jc w:val="both"/>
              <w:rPr>
                <w:rFonts w:cstheme="minorHAnsi"/>
                <w: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540D41"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8D4AFC" w14:textId="77777777" w:rsidR="00321C0C" w:rsidRPr="00321C0C" w:rsidRDefault="00321C0C" w:rsidP="00321C0C">
            <w:pPr>
              <w:jc w:val="both"/>
              <w:rPr>
                <w:rFonts w:cstheme="minorHAnsi"/>
                <w: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26D41"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A629EE" w14:textId="77777777" w:rsidR="00321C0C" w:rsidRPr="00321C0C" w:rsidRDefault="00321C0C" w:rsidP="00321C0C">
            <w:pPr>
              <w:jc w:val="both"/>
              <w:rPr>
                <w:rFonts w:cstheme="minorHAnsi"/>
                <w:sz w:val="20"/>
                <w:szCs w:val="20"/>
              </w:rPr>
            </w:pPr>
          </w:p>
        </w:tc>
      </w:tr>
      <w:tr w:rsidR="00321C0C" w:rsidRPr="00321C0C" w14:paraId="3B9EA77C" w14:textId="77777777" w:rsidTr="0096628E">
        <w:trPr>
          <w:jc w:val="center"/>
        </w:trPr>
        <w:tc>
          <w:tcPr>
            <w:tcW w:w="22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B43F76" w14:textId="77777777" w:rsidR="00321C0C" w:rsidRPr="00321C0C" w:rsidRDefault="00321C0C" w:rsidP="00321C0C">
            <w:pPr>
              <w:jc w:val="both"/>
              <w:rPr>
                <w:rFonts w:cstheme="minorHAnsi"/>
                <w:sz w:val="20"/>
                <w:szCs w:val="20"/>
              </w:rPr>
            </w:pPr>
            <w:r w:rsidRPr="00321C0C">
              <w:rPr>
                <w:rFonts w:cstheme="minorHAnsi"/>
                <w:sz w:val="20"/>
                <w:szCs w:val="20"/>
              </w:rPr>
              <w:t>Asistenti</w:t>
            </w: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F38C39" w14:textId="77777777" w:rsidR="00321C0C" w:rsidRPr="00321C0C" w:rsidRDefault="00321C0C" w:rsidP="00321C0C">
            <w:pPr>
              <w:jc w:val="both"/>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575860" w14:textId="77777777" w:rsidR="00321C0C" w:rsidRPr="00321C0C" w:rsidRDefault="00321C0C" w:rsidP="00321C0C">
            <w:pPr>
              <w:jc w:val="both"/>
              <w:rPr>
                <w:rFonts w:cstheme="minorHAnsi"/>
                <w:i/>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E6237A" w14:textId="77777777" w:rsidR="00321C0C" w:rsidRPr="00321C0C" w:rsidRDefault="00321C0C" w:rsidP="00321C0C">
            <w:pPr>
              <w:jc w:val="both"/>
              <w:rPr>
                <w:rFonts w:cstheme="minorHAnsi"/>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EBFFE6"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C4E8B5"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202C8A" w14:textId="77777777" w:rsidR="00321C0C" w:rsidRPr="00321C0C" w:rsidRDefault="00321C0C" w:rsidP="00321C0C">
            <w:pPr>
              <w:jc w:val="both"/>
              <w:rPr>
                <w:rFonts w:cstheme="minorHAnsi"/>
                <w: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597A3B"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B309F2" w14:textId="77777777" w:rsidR="00321C0C" w:rsidRPr="00321C0C" w:rsidRDefault="00321C0C" w:rsidP="00321C0C">
            <w:pPr>
              <w:jc w:val="both"/>
              <w:rPr>
                <w:rFonts w:cstheme="minorHAnsi"/>
                <w: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913A97"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819D1B" w14:textId="77777777" w:rsidR="00321C0C" w:rsidRPr="00321C0C" w:rsidRDefault="00321C0C" w:rsidP="00321C0C">
            <w:pPr>
              <w:jc w:val="both"/>
              <w:rPr>
                <w:rFonts w:cstheme="minorHAnsi"/>
                <w: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74DE04"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7604B0" w14:textId="77777777" w:rsidR="00321C0C" w:rsidRPr="00321C0C" w:rsidRDefault="00321C0C" w:rsidP="00321C0C">
            <w:pPr>
              <w:jc w:val="both"/>
              <w:rPr>
                <w:rFonts w:cstheme="minorHAnsi"/>
                <w:sz w:val="20"/>
                <w:szCs w:val="20"/>
              </w:rPr>
            </w:pPr>
          </w:p>
        </w:tc>
      </w:tr>
      <w:tr w:rsidR="00321C0C" w:rsidRPr="00321C0C" w14:paraId="4D4F4030" w14:textId="77777777" w:rsidTr="0096628E">
        <w:trPr>
          <w:jc w:val="center"/>
        </w:trPr>
        <w:tc>
          <w:tcPr>
            <w:tcW w:w="22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C07D4" w14:textId="77777777" w:rsidR="00321C0C" w:rsidRPr="00321C0C" w:rsidRDefault="00321C0C" w:rsidP="00321C0C">
            <w:pPr>
              <w:jc w:val="both"/>
              <w:rPr>
                <w:rFonts w:cstheme="minorHAnsi"/>
                <w:sz w:val="20"/>
                <w:szCs w:val="20"/>
              </w:rPr>
            </w:pPr>
            <w:r w:rsidRPr="00321C0C">
              <w:rPr>
                <w:rFonts w:cstheme="minorHAnsi"/>
                <w:sz w:val="20"/>
                <w:szCs w:val="20"/>
              </w:rPr>
              <w:t>Vědečtí, výzkumní a vývojoví pracovníci podílející se na pedagogické činnosti</w:t>
            </w: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152A4E" w14:textId="77777777" w:rsidR="00321C0C" w:rsidRPr="00321C0C" w:rsidRDefault="00321C0C" w:rsidP="00321C0C">
            <w:pPr>
              <w:jc w:val="both"/>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04C774" w14:textId="77777777" w:rsidR="00321C0C" w:rsidRPr="00321C0C" w:rsidRDefault="00321C0C" w:rsidP="00321C0C">
            <w:pPr>
              <w:jc w:val="both"/>
              <w:rPr>
                <w:rFonts w:cstheme="minorHAnsi"/>
                <w:i/>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64942B" w14:textId="77777777" w:rsidR="00321C0C" w:rsidRPr="00321C0C" w:rsidRDefault="00321C0C" w:rsidP="00321C0C">
            <w:pPr>
              <w:jc w:val="both"/>
              <w:rPr>
                <w:rFonts w:cstheme="minorHAnsi"/>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95062A"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1A8393"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36843B" w14:textId="77777777" w:rsidR="00321C0C" w:rsidRPr="00321C0C" w:rsidRDefault="00321C0C" w:rsidP="00321C0C">
            <w:pPr>
              <w:jc w:val="both"/>
              <w:rPr>
                <w:rFonts w:cstheme="minorHAnsi"/>
                <w: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7B9F81"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A2EA0F" w14:textId="77777777" w:rsidR="00321C0C" w:rsidRPr="00321C0C" w:rsidRDefault="00321C0C" w:rsidP="00321C0C">
            <w:pPr>
              <w:jc w:val="both"/>
              <w:rPr>
                <w:rFonts w:cstheme="minorHAnsi"/>
                <w: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FA2541"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74065B" w14:textId="77777777" w:rsidR="00321C0C" w:rsidRPr="00321C0C" w:rsidRDefault="00321C0C" w:rsidP="00321C0C">
            <w:pPr>
              <w:jc w:val="both"/>
              <w:rPr>
                <w:rFonts w:cstheme="minorHAnsi"/>
                <w: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249F6F"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053F03" w14:textId="77777777" w:rsidR="00321C0C" w:rsidRPr="00321C0C" w:rsidRDefault="00321C0C" w:rsidP="00321C0C">
            <w:pPr>
              <w:jc w:val="both"/>
              <w:rPr>
                <w:rFonts w:cstheme="minorHAnsi"/>
                <w:sz w:val="20"/>
                <w:szCs w:val="20"/>
              </w:rPr>
            </w:pPr>
          </w:p>
        </w:tc>
      </w:tr>
      <w:tr w:rsidR="00321C0C" w:rsidRPr="00321C0C" w14:paraId="7EBA5068" w14:textId="77777777" w:rsidTr="0096628E">
        <w:trPr>
          <w:jc w:val="center"/>
        </w:trPr>
        <w:tc>
          <w:tcPr>
            <w:tcW w:w="22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5E5311" w14:textId="77777777" w:rsidR="00321C0C" w:rsidRPr="00321C0C" w:rsidRDefault="00321C0C" w:rsidP="00321C0C">
            <w:pPr>
              <w:jc w:val="both"/>
              <w:rPr>
                <w:rFonts w:cstheme="minorHAnsi"/>
                <w:sz w:val="20"/>
                <w:szCs w:val="20"/>
              </w:rPr>
            </w:pPr>
            <w:proofErr w:type="spellStart"/>
            <w:r w:rsidRPr="00321C0C">
              <w:rPr>
                <w:rFonts w:cstheme="minorHAnsi"/>
                <w:sz w:val="20"/>
                <w:szCs w:val="20"/>
              </w:rPr>
              <w:t>Postdoktorandi</w:t>
            </w:r>
            <w:proofErr w:type="spellEnd"/>
            <w:r w:rsidRPr="00321C0C">
              <w:rPr>
                <w:rFonts w:cstheme="minorHAnsi"/>
                <w:sz w:val="20"/>
                <w:szCs w:val="20"/>
              </w:rPr>
              <w:t xml:space="preserve"> („</w:t>
            </w:r>
            <w:proofErr w:type="spellStart"/>
            <w:r w:rsidRPr="00321C0C">
              <w:rPr>
                <w:rFonts w:cstheme="minorHAnsi"/>
                <w:sz w:val="20"/>
                <w:szCs w:val="20"/>
              </w:rPr>
              <w:t>postdok</w:t>
            </w:r>
            <w:proofErr w:type="spellEnd"/>
            <w:r w:rsidRPr="00321C0C">
              <w:rPr>
                <w:rFonts w:cstheme="minorHAnsi"/>
                <w:sz w:val="20"/>
                <w:szCs w:val="20"/>
              </w:rPr>
              <w:t>“)</w:t>
            </w: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A5A703" w14:textId="77777777" w:rsidR="00321C0C" w:rsidRPr="00321C0C" w:rsidRDefault="00321C0C" w:rsidP="00321C0C">
            <w:pPr>
              <w:jc w:val="both"/>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051766" w14:textId="77777777" w:rsidR="00321C0C" w:rsidRPr="00321C0C" w:rsidRDefault="00321C0C" w:rsidP="00321C0C">
            <w:pPr>
              <w:jc w:val="both"/>
              <w:rPr>
                <w:rFonts w:cstheme="minorHAnsi"/>
                <w:i/>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5F80D0" w14:textId="77777777" w:rsidR="00321C0C" w:rsidRPr="00321C0C" w:rsidRDefault="00321C0C" w:rsidP="00321C0C">
            <w:pPr>
              <w:jc w:val="both"/>
              <w:rPr>
                <w:rFonts w:cstheme="minorHAnsi"/>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DDA6D2"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55987B"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C7B0D9" w14:textId="77777777" w:rsidR="00321C0C" w:rsidRPr="00321C0C" w:rsidRDefault="00321C0C" w:rsidP="00321C0C">
            <w:pPr>
              <w:jc w:val="both"/>
              <w:rPr>
                <w:rFonts w:cstheme="minorHAnsi"/>
                <w: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D872EF"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BE2F90" w14:textId="77777777" w:rsidR="00321C0C" w:rsidRPr="00321C0C" w:rsidRDefault="00321C0C" w:rsidP="00321C0C">
            <w:pPr>
              <w:jc w:val="both"/>
              <w:rPr>
                <w:rFonts w:cstheme="minorHAnsi"/>
                <w: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338127"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EE86D6" w14:textId="77777777" w:rsidR="00321C0C" w:rsidRPr="00321C0C" w:rsidRDefault="00321C0C" w:rsidP="00321C0C">
            <w:pPr>
              <w:jc w:val="both"/>
              <w:rPr>
                <w:rFonts w:cstheme="minorHAnsi"/>
                <w: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B7BF7E"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3A3970" w14:textId="77777777" w:rsidR="00321C0C" w:rsidRPr="00321C0C" w:rsidRDefault="00321C0C" w:rsidP="00321C0C">
            <w:pPr>
              <w:jc w:val="both"/>
              <w:rPr>
                <w:rFonts w:cstheme="minorHAnsi"/>
                <w:sz w:val="20"/>
                <w:szCs w:val="20"/>
              </w:rPr>
            </w:pPr>
          </w:p>
        </w:tc>
      </w:tr>
      <w:tr w:rsidR="00321C0C" w:rsidRPr="00321C0C" w14:paraId="43B0C706" w14:textId="77777777" w:rsidTr="0096628E">
        <w:trPr>
          <w:jc w:val="center"/>
        </w:trPr>
        <w:tc>
          <w:tcPr>
            <w:tcW w:w="22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AB9400" w14:textId="77777777" w:rsidR="00321C0C" w:rsidRPr="00321C0C" w:rsidRDefault="00321C0C" w:rsidP="00321C0C">
            <w:pPr>
              <w:jc w:val="both"/>
              <w:rPr>
                <w:rFonts w:cstheme="minorHAnsi"/>
                <w:sz w:val="20"/>
                <w:szCs w:val="20"/>
              </w:rPr>
            </w:pPr>
            <w:r w:rsidRPr="00321C0C">
              <w:rPr>
                <w:rFonts w:cstheme="minorHAnsi"/>
                <w:sz w:val="20"/>
                <w:szCs w:val="20"/>
              </w:rPr>
              <w:t>Ph.D. studenti</w:t>
            </w: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59A554" w14:textId="77777777" w:rsidR="00321C0C" w:rsidRPr="00321C0C" w:rsidRDefault="00321C0C" w:rsidP="00321C0C">
            <w:pPr>
              <w:jc w:val="both"/>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885D9" w14:textId="77777777" w:rsidR="00321C0C" w:rsidRPr="00321C0C" w:rsidRDefault="00321C0C" w:rsidP="00321C0C">
            <w:pPr>
              <w:jc w:val="both"/>
              <w:rPr>
                <w:rFonts w:cstheme="minorHAnsi"/>
                <w:i/>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A392E6" w14:textId="77777777" w:rsidR="00321C0C" w:rsidRPr="00321C0C" w:rsidRDefault="00321C0C" w:rsidP="00321C0C">
            <w:pPr>
              <w:jc w:val="both"/>
              <w:rPr>
                <w:rFonts w:cstheme="minorHAnsi"/>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475CD1"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C0A0E8"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E9BC2D" w14:textId="77777777" w:rsidR="00321C0C" w:rsidRPr="00321C0C" w:rsidRDefault="00321C0C" w:rsidP="00321C0C">
            <w:pPr>
              <w:jc w:val="both"/>
              <w:rPr>
                <w:rFonts w:cstheme="minorHAnsi"/>
                <w: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E4C04C"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B1F50F" w14:textId="77777777" w:rsidR="00321C0C" w:rsidRPr="00321C0C" w:rsidRDefault="00321C0C" w:rsidP="00321C0C">
            <w:pPr>
              <w:jc w:val="both"/>
              <w:rPr>
                <w:rFonts w:cstheme="minorHAnsi"/>
                <w: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1304EF"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B11F69" w14:textId="77777777" w:rsidR="00321C0C" w:rsidRPr="00321C0C" w:rsidRDefault="00321C0C" w:rsidP="00321C0C">
            <w:pPr>
              <w:jc w:val="both"/>
              <w:rPr>
                <w:rFonts w:cstheme="minorHAnsi"/>
                <w: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0EF022"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1F4542" w14:textId="77777777" w:rsidR="00321C0C" w:rsidRPr="00321C0C" w:rsidRDefault="00321C0C" w:rsidP="00321C0C">
            <w:pPr>
              <w:jc w:val="both"/>
              <w:rPr>
                <w:rFonts w:cstheme="minorHAnsi"/>
                <w:sz w:val="20"/>
                <w:szCs w:val="20"/>
              </w:rPr>
            </w:pPr>
          </w:p>
        </w:tc>
      </w:tr>
      <w:tr w:rsidR="00321C0C" w:rsidRPr="00321C0C" w14:paraId="041690D0" w14:textId="77777777" w:rsidTr="0096628E">
        <w:trPr>
          <w:jc w:val="center"/>
        </w:trPr>
        <w:tc>
          <w:tcPr>
            <w:tcW w:w="22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D0070B" w14:textId="77777777" w:rsidR="00321C0C" w:rsidRPr="00321C0C" w:rsidRDefault="00321C0C" w:rsidP="00321C0C">
            <w:pPr>
              <w:jc w:val="both"/>
              <w:rPr>
                <w:rFonts w:cstheme="minorHAnsi"/>
                <w:sz w:val="20"/>
                <w:szCs w:val="20"/>
              </w:rPr>
            </w:pPr>
            <w:r w:rsidRPr="00321C0C">
              <w:rPr>
                <w:rFonts w:cstheme="minorHAnsi"/>
                <w:sz w:val="20"/>
                <w:szCs w:val="20"/>
              </w:rPr>
              <w:t>Ostatní vědečtí, výzkumní a vývojoví pracovníci</w:t>
            </w: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AB3758" w14:textId="77777777" w:rsidR="00321C0C" w:rsidRPr="00321C0C" w:rsidRDefault="00321C0C" w:rsidP="00321C0C">
            <w:pPr>
              <w:jc w:val="both"/>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76F8AC" w14:textId="77777777" w:rsidR="00321C0C" w:rsidRPr="00321C0C" w:rsidRDefault="00321C0C" w:rsidP="00321C0C">
            <w:pPr>
              <w:jc w:val="both"/>
              <w:rPr>
                <w:rFonts w:cstheme="minorHAnsi"/>
                <w:i/>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2E9FD3" w14:textId="77777777" w:rsidR="00321C0C" w:rsidRPr="00321C0C" w:rsidRDefault="00321C0C" w:rsidP="00321C0C">
            <w:pPr>
              <w:jc w:val="both"/>
              <w:rPr>
                <w:rFonts w:cstheme="minorHAnsi"/>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B6241E"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944ACB"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063AEA" w14:textId="77777777" w:rsidR="00321C0C" w:rsidRPr="00321C0C" w:rsidRDefault="00321C0C" w:rsidP="00321C0C">
            <w:pPr>
              <w:jc w:val="both"/>
              <w:rPr>
                <w:rFonts w:cstheme="minorHAnsi"/>
                <w: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0F15DF"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C6F750" w14:textId="77777777" w:rsidR="00321C0C" w:rsidRPr="00321C0C" w:rsidRDefault="00321C0C" w:rsidP="00321C0C">
            <w:pPr>
              <w:jc w:val="both"/>
              <w:rPr>
                <w:rFonts w:cstheme="minorHAnsi"/>
                <w: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0A6FBB"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6D5790" w14:textId="77777777" w:rsidR="00321C0C" w:rsidRPr="00321C0C" w:rsidRDefault="00321C0C" w:rsidP="00321C0C">
            <w:pPr>
              <w:jc w:val="both"/>
              <w:rPr>
                <w:rFonts w:cstheme="minorHAnsi"/>
                <w: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C50841"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DA7065" w14:textId="77777777" w:rsidR="00321C0C" w:rsidRPr="00321C0C" w:rsidRDefault="00321C0C" w:rsidP="00321C0C">
            <w:pPr>
              <w:jc w:val="both"/>
              <w:rPr>
                <w:rFonts w:cstheme="minorHAnsi"/>
                <w:sz w:val="20"/>
                <w:szCs w:val="20"/>
              </w:rPr>
            </w:pPr>
          </w:p>
        </w:tc>
      </w:tr>
      <w:tr w:rsidR="00321C0C" w:rsidRPr="00321C0C" w14:paraId="79A69623" w14:textId="77777777" w:rsidTr="0096628E">
        <w:trPr>
          <w:jc w:val="center"/>
        </w:trPr>
        <w:tc>
          <w:tcPr>
            <w:tcW w:w="22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BE1EED" w14:textId="77777777" w:rsidR="00321C0C" w:rsidRPr="00321C0C" w:rsidRDefault="00321C0C" w:rsidP="00321C0C">
            <w:pPr>
              <w:jc w:val="both"/>
              <w:rPr>
                <w:rFonts w:cstheme="minorHAnsi"/>
                <w:sz w:val="20"/>
                <w:szCs w:val="20"/>
              </w:rPr>
            </w:pPr>
            <w:r w:rsidRPr="00321C0C">
              <w:rPr>
                <w:rFonts w:cstheme="minorHAnsi"/>
                <w:sz w:val="20"/>
                <w:szCs w:val="20"/>
              </w:rPr>
              <w:t>Vědečtí pracovníci nespadající do ostatních kategorií</w:t>
            </w: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B5601C" w14:textId="77777777" w:rsidR="00321C0C" w:rsidRPr="00321C0C" w:rsidRDefault="00321C0C" w:rsidP="00321C0C">
            <w:pPr>
              <w:jc w:val="both"/>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34EF4E" w14:textId="77777777" w:rsidR="00321C0C" w:rsidRPr="00321C0C" w:rsidRDefault="00321C0C" w:rsidP="00321C0C">
            <w:pPr>
              <w:jc w:val="both"/>
              <w:rPr>
                <w:rFonts w:cstheme="minorHAnsi"/>
                <w:i/>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CD7B13" w14:textId="77777777" w:rsidR="00321C0C" w:rsidRPr="00321C0C" w:rsidRDefault="00321C0C" w:rsidP="00321C0C">
            <w:pPr>
              <w:jc w:val="both"/>
              <w:rPr>
                <w:rFonts w:cstheme="minorHAnsi"/>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F74591"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34B853"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900A2B" w14:textId="77777777" w:rsidR="00321C0C" w:rsidRPr="00321C0C" w:rsidRDefault="00321C0C" w:rsidP="00321C0C">
            <w:pPr>
              <w:jc w:val="both"/>
              <w:rPr>
                <w:rFonts w:cstheme="minorHAnsi"/>
                <w: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E2C813"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223A12" w14:textId="77777777" w:rsidR="00321C0C" w:rsidRPr="00321C0C" w:rsidRDefault="00321C0C" w:rsidP="00321C0C">
            <w:pPr>
              <w:jc w:val="both"/>
              <w:rPr>
                <w:rFonts w:cstheme="minorHAnsi"/>
                <w: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1AB514"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A1B9E0" w14:textId="77777777" w:rsidR="00321C0C" w:rsidRPr="00321C0C" w:rsidRDefault="00321C0C" w:rsidP="00321C0C">
            <w:pPr>
              <w:jc w:val="both"/>
              <w:rPr>
                <w:rFonts w:cstheme="minorHAnsi"/>
                <w: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6498B8"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43BC96" w14:textId="77777777" w:rsidR="00321C0C" w:rsidRPr="00321C0C" w:rsidRDefault="00321C0C" w:rsidP="00321C0C">
            <w:pPr>
              <w:jc w:val="both"/>
              <w:rPr>
                <w:rFonts w:cstheme="minorHAnsi"/>
                <w:sz w:val="20"/>
                <w:szCs w:val="20"/>
              </w:rPr>
            </w:pPr>
          </w:p>
        </w:tc>
      </w:tr>
    </w:tbl>
    <w:p w14:paraId="06DAC025" w14:textId="77777777" w:rsidR="00321C0C" w:rsidRPr="00321C0C" w:rsidRDefault="00321C0C" w:rsidP="00321C0C">
      <w:pPr>
        <w:contextualSpacing/>
        <w:jc w:val="both"/>
        <w:rPr>
          <w:rFonts w:cs="Times New Roman"/>
          <w:b/>
          <w:sz w:val="22"/>
          <w:szCs w:val="22"/>
          <w:lang w:val="cs-CZ"/>
        </w:rPr>
      </w:pPr>
    </w:p>
    <w:p w14:paraId="1109EFA3" w14:textId="77777777" w:rsidR="00321C0C" w:rsidRPr="00321C0C" w:rsidRDefault="00321C0C" w:rsidP="00321C0C">
      <w:pPr>
        <w:ind w:right="-517"/>
        <w:contextualSpacing/>
        <w:jc w:val="both"/>
        <w:rPr>
          <w:rFonts w:cs="Times New Roman"/>
          <w:sz w:val="20"/>
          <w:szCs w:val="20"/>
          <w:lang w:val="cs-CZ"/>
        </w:rPr>
      </w:pPr>
      <w:r w:rsidRPr="00321C0C">
        <w:rPr>
          <w:rFonts w:cs="Times New Roman"/>
          <w:sz w:val="20"/>
          <w:szCs w:val="20"/>
          <w:lang w:val="cs-CZ"/>
        </w:rPr>
        <w:t>Pozn.: Uvede se celkový počet zaměstnanců/pracovníků k 31. 12. daného kalendářního roku bez ohledu na výši úvazku, ale pouze v pracovním poměru, tj. bez zahrnutí osob pracujících na DPP a DPČ. Nezahrnuje jiné typy smluvních vztahů dle občanského zákoníku, které mají charakter nákupu služeb.</w:t>
      </w:r>
    </w:p>
    <w:p w14:paraId="453AE96D" w14:textId="77777777" w:rsidR="00321C0C" w:rsidRPr="00321C0C" w:rsidRDefault="00321C0C" w:rsidP="00321C0C">
      <w:pPr>
        <w:contextualSpacing/>
        <w:jc w:val="both"/>
        <w:rPr>
          <w:rFonts w:cs="Times New Roman"/>
          <w:b/>
          <w:sz w:val="22"/>
          <w:szCs w:val="22"/>
          <w:lang w:val="cs-CZ"/>
        </w:rPr>
      </w:pPr>
    </w:p>
    <w:p w14:paraId="0019D0B2" w14:textId="77777777" w:rsidR="00321C0C" w:rsidRPr="00321C0C" w:rsidRDefault="00321C0C" w:rsidP="00321C0C">
      <w:pPr>
        <w:contextualSpacing/>
        <w:jc w:val="both"/>
        <w:rPr>
          <w:rFonts w:cstheme="minorHAnsi"/>
          <w:sz w:val="22"/>
          <w:szCs w:val="22"/>
          <w:lang w:val="cs-CZ"/>
        </w:rPr>
      </w:pPr>
      <w:r w:rsidRPr="00321C0C">
        <w:rPr>
          <w:rFonts w:cs="Times New Roman"/>
          <w:sz w:val="22"/>
          <w:szCs w:val="22"/>
          <w:lang w:val="cs-CZ"/>
        </w:rPr>
        <w:t xml:space="preserve">4.17.2 Věková struktura pracovníků vysoké školy, kteří se podíleli na VaVaI, a jejich struktura podle pracovního zařazení a genderu v roce 2018 </w:t>
      </w:r>
      <w:r w:rsidRPr="00321C0C">
        <w:rPr>
          <w:rFonts w:cstheme="minorHAnsi"/>
          <w:sz w:val="22"/>
          <w:szCs w:val="22"/>
          <w:lang w:val="cs-CZ"/>
        </w:rPr>
        <w:t>(počty fyzických zaměstnanců a pracovníků)</w:t>
      </w:r>
    </w:p>
    <w:p w14:paraId="7967E4D3" w14:textId="77777777" w:rsidR="00321C0C" w:rsidRPr="00321C0C" w:rsidRDefault="00321C0C" w:rsidP="00321C0C">
      <w:pPr>
        <w:contextualSpacing/>
        <w:jc w:val="both"/>
        <w:rPr>
          <w:rFonts w:cs="Times New Roman"/>
          <w:sz w:val="22"/>
          <w:szCs w:val="22"/>
          <w:u w:val="single"/>
          <w:lang w:val="cs-CZ"/>
        </w:rPr>
      </w:pPr>
    </w:p>
    <w:tbl>
      <w:tblPr>
        <w:tblStyle w:val="Mkatabulky2"/>
        <w:tblW w:w="10773" w:type="dxa"/>
        <w:jc w:val="center"/>
        <w:shd w:val="clear" w:color="auto" w:fill="F2F2F2" w:themeFill="background1" w:themeFillShade="F2"/>
        <w:tblLook w:val="04A0" w:firstRow="1" w:lastRow="0" w:firstColumn="1" w:lastColumn="0" w:noHBand="0" w:noVBand="1"/>
      </w:tblPr>
      <w:tblGrid>
        <w:gridCol w:w="2285"/>
        <w:gridCol w:w="705"/>
        <w:gridCol w:w="707"/>
        <w:gridCol w:w="710"/>
        <w:gridCol w:w="709"/>
        <w:gridCol w:w="708"/>
        <w:gridCol w:w="709"/>
        <w:gridCol w:w="710"/>
        <w:gridCol w:w="706"/>
        <w:gridCol w:w="706"/>
        <w:gridCol w:w="706"/>
        <w:gridCol w:w="706"/>
        <w:gridCol w:w="706"/>
      </w:tblGrid>
      <w:tr w:rsidR="00321C0C" w:rsidRPr="00321C0C" w14:paraId="252797CD" w14:textId="77777777" w:rsidTr="0096628E">
        <w:trPr>
          <w:jc w:val="center"/>
        </w:trPr>
        <w:tc>
          <w:tcPr>
            <w:tcW w:w="2285" w:type="dxa"/>
            <w:vMerge w:val="restart"/>
            <w:shd w:val="clear" w:color="auto" w:fill="F2F2F2" w:themeFill="background1" w:themeFillShade="F2"/>
            <w:vAlign w:val="center"/>
          </w:tcPr>
          <w:p w14:paraId="21C25A48" w14:textId="77777777" w:rsidR="00321C0C" w:rsidRPr="00321C0C" w:rsidRDefault="00321C0C" w:rsidP="00321C0C">
            <w:pPr>
              <w:spacing w:before="17"/>
              <w:jc w:val="both"/>
              <w:rPr>
                <w:rFonts w:cstheme="minorHAnsi"/>
                <w:sz w:val="20"/>
                <w:szCs w:val="20"/>
              </w:rPr>
            </w:pPr>
            <w:r w:rsidRPr="00321C0C">
              <w:rPr>
                <w:rFonts w:cstheme="minorHAnsi"/>
                <w:sz w:val="20"/>
                <w:szCs w:val="20"/>
              </w:rPr>
              <w:t>Akademická/</w:t>
            </w:r>
          </w:p>
          <w:p w14:paraId="380E455D" w14:textId="77777777" w:rsidR="00321C0C" w:rsidRPr="00321C0C" w:rsidRDefault="00321C0C" w:rsidP="00321C0C">
            <w:pPr>
              <w:spacing w:before="17"/>
              <w:jc w:val="both"/>
              <w:rPr>
                <w:rFonts w:cstheme="minorHAnsi"/>
                <w:sz w:val="20"/>
                <w:szCs w:val="20"/>
                <w:u w:val="single"/>
              </w:rPr>
            </w:pPr>
            <w:r w:rsidRPr="00321C0C">
              <w:rPr>
                <w:rFonts w:cstheme="minorHAnsi"/>
                <w:sz w:val="20"/>
                <w:szCs w:val="20"/>
              </w:rPr>
              <w:t>odborná pozice</w:t>
            </w:r>
          </w:p>
        </w:tc>
        <w:tc>
          <w:tcPr>
            <w:tcW w:w="1412" w:type="dxa"/>
            <w:gridSpan w:val="2"/>
            <w:shd w:val="clear" w:color="auto" w:fill="F2F2F2" w:themeFill="background1" w:themeFillShade="F2"/>
          </w:tcPr>
          <w:p w14:paraId="1687C606" w14:textId="77777777" w:rsidR="00321C0C" w:rsidRPr="00321C0C" w:rsidRDefault="00321C0C" w:rsidP="00321C0C">
            <w:pPr>
              <w:jc w:val="both"/>
              <w:rPr>
                <w:rFonts w:cstheme="minorHAnsi"/>
                <w:sz w:val="20"/>
                <w:szCs w:val="20"/>
              </w:rPr>
            </w:pPr>
            <w:r w:rsidRPr="00321C0C">
              <w:rPr>
                <w:rFonts w:cstheme="minorHAnsi"/>
                <w:sz w:val="20"/>
                <w:szCs w:val="20"/>
              </w:rPr>
              <w:t>do 29 let</w:t>
            </w:r>
          </w:p>
        </w:tc>
        <w:tc>
          <w:tcPr>
            <w:tcW w:w="1419" w:type="dxa"/>
            <w:gridSpan w:val="2"/>
            <w:shd w:val="clear" w:color="auto" w:fill="F2F2F2" w:themeFill="background1" w:themeFillShade="F2"/>
          </w:tcPr>
          <w:p w14:paraId="71C4815C" w14:textId="77777777" w:rsidR="00321C0C" w:rsidRPr="00321C0C" w:rsidRDefault="00321C0C" w:rsidP="00321C0C">
            <w:pPr>
              <w:jc w:val="both"/>
              <w:rPr>
                <w:rFonts w:cstheme="minorHAnsi"/>
                <w:sz w:val="20"/>
                <w:szCs w:val="20"/>
              </w:rPr>
            </w:pPr>
            <w:r w:rsidRPr="00321C0C">
              <w:rPr>
                <w:rFonts w:cstheme="minorHAnsi"/>
                <w:sz w:val="20"/>
                <w:szCs w:val="20"/>
              </w:rPr>
              <w:t>30 – 39 let</w:t>
            </w:r>
          </w:p>
        </w:tc>
        <w:tc>
          <w:tcPr>
            <w:tcW w:w="1417" w:type="dxa"/>
            <w:gridSpan w:val="2"/>
            <w:shd w:val="clear" w:color="auto" w:fill="F2F2F2" w:themeFill="background1" w:themeFillShade="F2"/>
          </w:tcPr>
          <w:p w14:paraId="1AA39492" w14:textId="77777777" w:rsidR="00321C0C" w:rsidRPr="00321C0C" w:rsidRDefault="00321C0C" w:rsidP="00321C0C">
            <w:pPr>
              <w:jc w:val="both"/>
              <w:rPr>
                <w:rFonts w:cstheme="minorHAnsi"/>
                <w:sz w:val="20"/>
                <w:szCs w:val="20"/>
              </w:rPr>
            </w:pPr>
            <w:r w:rsidRPr="00321C0C">
              <w:rPr>
                <w:rFonts w:cstheme="minorHAnsi"/>
                <w:sz w:val="20"/>
                <w:szCs w:val="20"/>
              </w:rPr>
              <w:t>40 – 49 let</w:t>
            </w:r>
          </w:p>
        </w:tc>
        <w:tc>
          <w:tcPr>
            <w:tcW w:w="1416" w:type="dxa"/>
            <w:gridSpan w:val="2"/>
            <w:shd w:val="clear" w:color="auto" w:fill="F2F2F2" w:themeFill="background1" w:themeFillShade="F2"/>
          </w:tcPr>
          <w:p w14:paraId="1087591E" w14:textId="77777777" w:rsidR="00321C0C" w:rsidRPr="00321C0C" w:rsidRDefault="00321C0C" w:rsidP="00321C0C">
            <w:pPr>
              <w:jc w:val="both"/>
              <w:rPr>
                <w:rFonts w:cstheme="minorHAnsi"/>
                <w:sz w:val="20"/>
                <w:szCs w:val="20"/>
              </w:rPr>
            </w:pPr>
            <w:r w:rsidRPr="00321C0C">
              <w:rPr>
                <w:rFonts w:cstheme="minorHAnsi"/>
                <w:sz w:val="20"/>
                <w:szCs w:val="20"/>
              </w:rPr>
              <w:t>50 – 59 let</w:t>
            </w:r>
          </w:p>
        </w:tc>
        <w:tc>
          <w:tcPr>
            <w:tcW w:w="1412" w:type="dxa"/>
            <w:gridSpan w:val="2"/>
            <w:shd w:val="clear" w:color="auto" w:fill="F2F2F2" w:themeFill="background1" w:themeFillShade="F2"/>
          </w:tcPr>
          <w:p w14:paraId="33729097" w14:textId="77777777" w:rsidR="00321C0C" w:rsidRPr="00321C0C" w:rsidRDefault="00321C0C" w:rsidP="00321C0C">
            <w:pPr>
              <w:jc w:val="both"/>
              <w:rPr>
                <w:rFonts w:cstheme="minorHAnsi"/>
                <w:sz w:val="20"/>
                <w:szCs w:val="20"/>
              </w:rPr>
            </w:pPr>
            <w:r w:rsidRPr="00321C0C">
              <w:rPr>
                <w:rFonts w:cstheme="minorHAnsi"/>
                <w:sz w:val="20"/>
                <w:szCs w:val="20"/>
              </w:rPr>
              <w:t>60 – 69 let</w:t>
            </w:r>
          </w:p>
        </w:tc>
        <w:tc>
          <w:tcPr>
            <w:tcW w:w="1412" w:type="dxa"/>
            <w:gridSpan w:val="2"/>
            <w:shd w:val="clear" w:color="auto" w:fill="F2F2F2" w:themeFill="background1" w:themeFillShade="F2"/>
          </w:tcPr>
          <w:p w14:paraId="4D21CFA4" w14:textId="77777777" w:rsidR="00321C0C" w:rsidRPr="00321C0C" w:rsidRDefault="00321C0C" w:rsidP="00321C0C">
            <w:pPr>
              <w:jc w:val="both"/>
              <w:rPr>
                <w:rFonts w:cstheme="minorHAnsi"/>
                <w:sz w:val="20"/>
                <w:szCs w:val="20"/>
              </w:rPr>
            </w:pPr>
            <w:r w:rsidRPr="00321C0C">
              <w:rPr>
                <w:rFonts w:cstheme="minorHAnsi"/>
                <w:sz w:val="20"/>
                <w:szCs w:val="20"/>
              </w:rPr>
              <w:t>70 a více let</w:t>
            </w:r>
          </w:p>
        </w:tc>
      </w:tr>
      <w:tr w:rsidR="00321C0C" w:rsidRPr="00321C0C" w14:paraId="7FAB5AB7" w14:textId="77777777" w:rsidTr="0096628E">
        <w:trPr>
          <w:jc w:val="center"/>
        </w:trPr>
        <w:tc>
          <w:tcPr>
            <w:tcW w:w="2285" w:type="dxa"/>
            <w:vMerge/>
            <w:shd w:val="clear" w:color="auto" w:fill="F2F2F2" w:themeFill="background1" w:themeFillShade="F2"/>
          </w:tcPr>
          <w:p w14:paraId="7AF7696A" w14:textId="77777777" w:rsidR="00321C0C" w:rsidRPr="00321C0C" w:rsidRDefault="00321C0C" w:rsidP="00321C0C">
            <w:pPr>
              <w:spacing w:before="17"/>
              <w:jc w:val="both"/>
              <w:rPr>
                <w:rFonts w:cstheme="minorHAnsi"/>
                <w:sz w:val="20"/>
                <w:szCs w:val="20"/>
                <w:u w:val="single"/>
              </w:rPr>
            </w:pPr>
          </w:p>
        </w:tc>
        <w:tc>
          <w:tcPr>
            <w:tcW w:w="705" w:type="dxa"/>
            <w:shd w:val="clear" w:color="auto" w:fill="F2F2F2" w:themeFill="background1" w:themeFillShade="F2"/>
            <w:vAlign w:val="center"/>
          </w:tcPr>
          <w:p w14:paraId="0093EE77" w14:textId="77777777" w:rsidR="00321C0C" w:rsidRPr="00321C0C" w:rsidRDefault="00321C0C" w:rsidP="00321C0C">
            <w:pPr>
              <w:jc w:val="both"/>
              <w:rPr>
                <w:rFonts w:cstheme="minorHAnsi"/>
                <w:sz w:val="20"/>
                <w:szCs w:val="20"/>
              </w:rPr>
            </w:pPr>
            <w:r w:rsidRPr="00321C0C">
              <w:rPr>
                <w:rFonts w:cstheme="minorHAnsi"/>
                <w:sz w:val="20"/>
                <w:szCs w:val="20"/>
              </w:rPr>
              <w:t>Cel.</w:t>
            </w:r>
          </w:p>
        </w:tc>
        <w:tc>
          <w:tcPr>
            <w:tcW w:w="707" w:type="dxa"/>
            <w:shd w:val="clear" w:color="auto" w:fill="F2F2F2" w:themeFill="background1" w:themeFillShade="F2"/>
            <w:vAlign w:val="center"/>
          </w:tcPr>
          <w:p w14:paraId="462FEE86" w14:textId="77777777" w:rsidR="00321C0C" w:rsidRPr="00321C0C" w:rsidRDefault="00321C0C" w:rsidP="00321C0C">
            <w:pPr>
              <w:jc w:val="both"/>
              <w:rPr>
                <w:rFonts w:cstheme="minorHAnsi"/>
                <w:sz w:val="20"/>
                <w:szCs w:val="20"/>
              </w:rPr>
            </w:pPr>
            <w:r w:rsidRPr="00321C0C">
              <w:rPr>
                <w:rFonts w:cstheme="minorHAnsi"/>
                <w:sz w:val="20"/>
                <w:szCs w:val="20"/>
              </w:rPr>
              <w:t>Ženy</w:t>
            </w:r>
          </w:p>
        </w:tc>
        <w:tc>
          <w:tcPr>
            <w:tcW w:w="710" w:type="dxa"/>
            <w:shd w:val="clear" w:color="auto" w:fill="F2F2F2" w:themeFill="background1" w:themeFillShade="F2"/>
            <w:vAlign w:val="center"/>
          </w:tcPr>
          <w:p w14:paraId="37DE535D" w14:textId="77777777" w:rsidR="00321C0C" w:rsidRPr="00321C0C" w:rsidRDefault="00321C0C" w:rsidP="00321C0C">
            <w:pPr>
              <w:jc w:val="both"/>
              <w:rPr>
                <w:rFonts w:cstheme="minorHAnsi"/>
                <w:sz w:val="20"/>
                <w:szCs w:val="20"/>
              </w:rPr>
            </w:pPr>
            <w:r w:rsidRPr="00321C0C">
              <w:rPr>
                <w:rFonts w:cstheme="minorHAnsi"/>
                <w:sz w:val="20"/>
                <w:szCs w:val="20"/>
              </w:rPr>
              <w:t>Cel.</w:t>
            </w:r>
          </w:p>
        </w:tc>
        <w:tc>
          <w:tcPr>
            <w:tcW w:w="709" w:type="dxa"/>
            <w:shd w:val="clear" w:color="auto" w:fill="F2F2F2" w:themeFill="background1" w:themeFillShade="F2"/>
            <w:vAlign w:val="center"/>
          </w:tcPr>
          <w:p w14:paraId="6730DD11" w14:textId="77777777" w:rsidR="00321C0C" w:rsidRPr="00321C0C" w:rsidRDefault="00321C0C" w:rsidP="00321C0C">
            <w:pPr>
              <w:jc w:val="both"/>
              <w:rPr>
                <w:rFonts w:cstheme="minorHAnsi"/>
                <w:sz w:val="20"/>
                <w:szCs w:val="20"/>
              </w:rPr>
            </w:pPr>
            <w:r w:rsidRPr="00321C0C">
              <w:rPr>
                <w:rFonts w:cstheme="minorHAnsi"/>
                <w:sz w:val="20"/>
                <w:szCs w:val="20"/>
              </w:rPr>
              <w:t>Ženy</w:t>
            </w:r>
          </w:p>
        </w:tc>
        <w:tc>
          <w:tcPr>
            <w:tcW w:w="708" w:type="dxa"/>
            <w:shd w:val="clear" w:color="auto" w:fill="F2F2F2" w:themeFill="background1" w:themeFillShade="F2"/>
            <w:vAlign w:val="center"/>
          </w:tcPr>
          <w:p w14:paraId="589DBD8D" w14:textId="77777777" w:rsidR="00321C0C" w:rsidRPr="00321C0C" w:rsidRDefault="00321C0C" w:rsidP="00321C0C">
            <w:pPr>
              <w:jc w:val="both"/>
              <w:rPr>
                <w:rFonts w:cstheme="minorHAnsi"/>
                <w:sz w:val="20"/>
                <w:szCs w:val="20"/>
              </w:rPr>
            </w:pPr>
            <w:r w:rsidRPr="00321C0C">
              <w:rPr>
                <w:rFonts w:cstheme="minorHAnsi"/>
                <w:sz w:val="20"/>
                <w:szCs w:val="20"/>
              </w:rPr>
              <w:t>Cel.</w:t>
            </w:r>
          </w:p>
        </w:tc>
        <w:tc>
          <w:tcPr>
            <w:tcW w:w="709" w:type="dxa"/>
            <w:shd w:val="clear" w:color="auto" w:fill="F2F2F2" w:themeFill="background1" w:themeFillShade="F2"/>
            <w:vAlign w:val="center"/>
          </w:tcPr>
          <w:p w14:paraId="367DA509" w14:textId="77777777" w:rsidR="00321C0C" w:rsidRPr="00321C0C" w:rsidRDefault="00321C0C" w:rsidP="00321C0C">
            <w:pPr>
              <w:jc w:val="both"/>
              <w:rPr>
                <w:rFonts w:cstheme="minorHAnsi"/>
                <w:sz w:val="20"/>
                <w:szCs w:val="20"/>
              </w:rPr>
            </w:pPr>
            <w:r w:rsidRPr="00321C0C">
              <w:rPr>
                <w:rFonts w:cstheme="minorHAnsi"/>
                <w:sz w:val="20"/>
                <w:szCs w:val="20"/>
              </w:rPr>
              <w:t>Ženy</w:t>
            </w:r>
          </w:p>
        </w:tc>
        <w:tc>
          <w:tcPr>
            <w:tcW w:w="710" w:type="dxa"/>
            <w:shd w:val="clear" w:color="auto" w:fill="F2F2F2" w:themeFill="background1" w:themeFillShade="F2"/>
            <w:vAlign w:val="center"/>
          </w:tcPr>
          <w:p w14:paraId="0D3129CE" w14:textId="77777777" w:rsidR="00321C0C" w:rsidRPr="00321C0C" w:rsidRDefault="00321C0C" w:rsidP="00321C0C">
            <w:pPr>
              <w:jc w:val="both"/>
              <w:rPr>
                <w:rFonts w:cstheme="minorHAnsi"/>
                <w:sz w:val="20"/>
                <w:szCs w:val="20"/>
              </w:rPr>
            </w:pPr>
            <w:r w:rsidRPr="00321C0C">
              <w:rPr>
                <w:rFonts w:cstheme="minorHAnsi"/>
                <w:sz w:val="20"/>
                <w:szCs w:val="20"/>
              </w:rPr>
              <w:t>Cel.</w:t>
            </w:r>
          </w:p>
        </w:tc>
        <w:tc>
          <w:tcPr>
            <w:tcW w:w="706" w:type="dxa"/>
            <w:shd w:val="clear" w:color="auto" w:fill="F2F2F2" w:themeFill="background1" w:themeFillShade="F2"/>
            <w:vAlign w:val="center"/>
          </w:tcPr>
          <w:p w14:paraId="321D8E04" w14:textId="77777777" w:rsidR="00321C0C" w:rsidRPr="00321C0C" w:rsidRDefault="00321C0C" w:rsidP="00321C0C">
            <w:pPr>
              <w:jc w:val="both"/>
              <w:rPr>
                <w:rFonts w:cstheme="minorHAnsi"/>
                <w:sz w:val="20"/>
                <w:szCs w:val="20"/>
              </w:rPr>
            </w:pPr>
            <w:r w:rsidRPr="00321C0C">
              <w:rPr>
                <w:rFonts w:cstheme="minorHAnsi"/>
                <w:sz w:val="20"/>
                <w:szCs w:val="20"/>
              </w:rPr>
              <w:t>Ženy</w:t>
            </w:r>
          </w:p>
        </w:tc>
        <w:tc>
          <w:tcPr>
            <w:tcW w:w="706" w:type="dxa"/>
            <w:shd w:val="clear" w:color="auto" w:fill="F2F2F2" w:themeFill="background1" w:themeFillShade="F2"/>
            <w:vAlign w:val="center"/>
          </w:tcPr>
          <w:p w14:paraId="32DE028D" w14:textId="77777777" w:rsidR="00321C0C" w:rsidRPr="00321C0C" w:rsidRDefault="00321C0C" w:rsidP="00321C0C">
            <w:pPr>
              <w:jc w:val="both"/>
              <w:rPr>
                <w:rFonts w:cstheme="minorHAnsi"/>
                <w:sz w:val="20"/>
                <w:szCs w:val="20"/>
              </w:rPr>
            </w:pPr>
            <w:r w:rsidRPr="00321C0C">
              <w:rPr>
                <w:rFonts w:cstheme="minorHAnsi"/>
                <w:sz w:val="20"/>
                <w:szCs w:val="20"/>
              </w:rPr>
              <w:t>Cel.</w:t>
            </w:r>
          </w:p>
        </w:tc>
        <w:tc>
          <w:tcPr>
            <w:tcW w:w="706" w:type="dxa"/>
            <w:shd w:val="clear" w:color="auto" w:fill="F2F2F2" w:themeFill="background1" w:themeFillShade="F2"/>
            <w:vAlign w:val="center"/>
          </w:tcPr>
          <w:p w14:paraId="0A149F90" w14:textId="77777777" w:rsidR="00321C0C" w:rsidRPr="00321C0C" w:rsidRDefault="00321C0C" w:rsidP="00321C0C">
            <w:pPr>
              <w:jc w:val="both"/>
              <w:rPr>
                <w:rFonts w:cstheme="minorHAnsi"/>
                <w:sz w:val="20"/>
                <w:szCs w:val="20"/>
              </w:rPr>
            </w:pPr>
            <w:r w:rsidRPr="00321C0C">
              <w:rPr>
                <w:rFonts w:cstheme="minorHAnsi"/>
                <w:sz w:val="20"/>
                <w:szCs w:val="20"/>
              </w:rPr>
              <w:t>Ženy</w:t>
            </w:r>
          </w:p>
        </w:tc>
        <w:tc>
          <w:tcPr>
            <w:tcW w:w="706" w:type="dxa"/>
            <w:shd w:val="clear" w:color="auto" w:fill="F2F2F2" w:themeFill="background1" w:themeFillShade="F2"/>
            <w:vAlign w:val="center"/>
          </w:tcPr>
          <w:p w14:paraId="5439FD9A" w14:textId="77777777" w:rsidR="00321C0C" w:rsidRPr="00321C0C" w:rsidRDefault="00321C0C" w:rsidP="00321C0C">
            <w:pPr>
              <w:jc w:val="both"/>
              <w:rPr>
                <w:rFonts w:cstheme="minorHAnsi"/>
                <w:sz w:val="20"/>
                <w:szCs w:val="20"/>
              </w:rPr>
            </w:pPr>
            <w:r w:rsidRPr="00321C0C">
              <w:rPr>
                <w:rFonts w:cstheme="minorHAnsi"/>
                <w:sz w:val="20"/>
                <w:szCs w:val="20"/>
              </w:rPr>
              <w:t>Cel.</w:t>
            </w:r>
          </w:p>
        </w:tc>
        <w:tc>
          <w:tcPr>
            <w:tcW w:w="706" w:type="dxa"/>
            <w:shd w:val="clear" w:color="auto" w:fill="F2F2F2" w:themeFill="background1" w:themeFillShade="F2"/>
            <w:vAlign w:val="center"/>
          </w:tcPr>
          <w:p w14:paraId="4FC2CFD1" w14:textId="77777777" w:rsidR="00321C0C" w:rsidRPr="00321C0C" w:rsidRDefault="00321C0C" w:rsidP="00321C0C">
            <w:pPr>
              <w:jc w:val="both"/>
              <w:rPr>
                <w:rFonts w:cstheme="minorHAnsi"/>
                <w:sz w:val="20"/>
                <w:szCs w:val="20"/>
              </w:rPr>
            </w:pPr>
            <w:r w:rsidRPr="00321C0C">
              <w:rPr>
                <w:rFonts w:cstheme="minorHAnsi"/>
                <w:sz w:val="20"/>
                <w:szCs w:val="20"/>
              </w:rPr>
              <w:t>Ženy</w:t>
            </w:r>
          </w:p>
        </w:tc>
      </w:tr>
      <w:tr w:rsidR="00321C0C" w:rsidRPr="00321C0C" w14:paraId="4B9CDB38" w14:textId="77777777" w:rsidTr="0096628E">
        <w:trPr>
          <w:jc w:val="center"/>
        </w:trPr>
        <w:tc>
          <w:tcPr>
            <w:tcW w:w="2285" w:type="dxa"/>
            <w:shd w:val="clear" w:color="auto" w:fill="F2F2F2" w:themeFill="background1" w:themeFillShade="F2"/>
          </w:tcPr>
          <w:p w14:paraId="6BC41DDB" w14:textId="77777777" w:rsidR="00321C0C" w:rsidRPr="00321C0C" w:rsidRDefault="00321C0C" w:rsidP="00321C0C">
            <w:pPr>
              <w:spacing w:before="17"/>
              <w:jc w:val="both"/>
              <w:rPr>
                <w:rFonts w:cstheme="minorHAnsi"/>
                <w:sz w:val="20"/>
                <w:szCs w:val="20"/>
                <w:u w:val="single"/>
              </w:rPr>
            </w:pPr>
            <w:r w:rsidRPr="00321C0C">
              <w:rPr>
                <w:rFonts w:cstheme="minorHAnsi"/>
                <w:sz w:val="20"/>
                <w:szCs w:val="20"/>
              </w:rPr>
              <w:t>Profesoři</w:t>
            </w:r>
          </w:p>
        </w:tc>
        <w:tc>
          <w:tcPr>
            <w:tcW w:w="705" w:type="dxa"/>
            <w:shd w:val="clear" w:color="auto" w:fill="F2F2F2" w:themeFill="background1" w:themeFillShade="F2"/>
            <w:vAlign w:val="center"/>
          </w:tcPr>
          <w:p w14:paraId="5DBA52AB" w14:textId="77777777" w:rsidR="00321C0C" w:rsidRPr="00321C0C" w:rsidRDefault="00321C0C" w:rsidP="00321C0C">
            <w:pPr>
              <w:jc w:val="both"/>
              <w:rPr>
                <w:rFonts w:cstheme="minorHAnsi"/>
                <w:sz w:val="20"/>
                <w:szCs w:val="20"/>
              </w:rPr>
            </w:pPr>
          </w:p>
        </w:tc>
        <w:tc>
          <w:tcPr>
            <w:tcW w:w="707" w:type="dxa"/>
            <w:shd w:val="clear" w:color="auto" w:fill="F2F2F2" w:themeFill="background1" w:themeFillShade="F2"/>
            <w:vAlign w:val="center"/>
          </w:tcPr>
          <w:p w14:paraId="50024A8E" w14:textId="77777777" w:rsidR="00321C0C" w:rsidRPr="00321C0C" w:rsidRDefault="00321C0C" w:rsidP="00321C0C">
            <w:pPr>
              <w:jc w:val="both"/>
              <w:rPr>
                <w:rFonts w:cstheme="minorHAnsi"/>
                <w:sz w:val="20"/>
                <w:szCs w:val="20"/>
              </w:rPr>
            </w:pPr>
          </w:p>
        </w:tc>
        <w:tc>
          <w:tcPr>
            <w:tcW w:w="710" w:type="dxa"/>
            <w:shd w:val="clear" w:color="auto" w:fill="F2F2F2" w:themeFill="background1" w:themeFillShade="F2"/>
            <w:vAlign w:val="center"/>
          </w:tcPr>
          <w:p w14:paraId="02F2FAAA" w14:textId="77777777" w:rsidR="00321C0C" w:rsidRPr="00321C0C" w:rsidRDefault="00321C0C" w:rsidP="00321C0C">
            <w:pPr>
              <w:jc w:val="both"/>
              <w:rPr>
                <w:rFonts w:cstheme="minorHAnsi"/>
                <w:sz w:val="20"/>
                <w:szCs w:val="20"/>
              </w:rPr>
            </w:pPr>
          </w:p>
        </w:tc>
        <w:tc>
          <w:tcPr>
            <w:tcW w:w="709" w:type="dxa"/>
            <w:shd w:val="clear" w:color="auto" w:fill="F2F2F2" w:themeFill="background1" w:themeFillShade="F2"/>
            <w:vAlign w:val="center"/>
          </w:tcPr>
          <w:p w14:paraId="3E86ED67" w14:textId="77777777" w:rsidR="00321C0C" w:rsidRPr="00321C0C" w:rsidRDefault="00321C0C" w:rsidP="00321C0C">
            <w:pPr>
              <w:jc w:val="both"/>
              <w:rPr>
                <w:rFonts w:cstheme="minorHAnsi"/>
                <w:sz w:val="20"/>
                <w:szCs w:val="20"/>
              </w:rPr>
            </w:pPr>
          </w:p>
        </w:tc>
        <w:tc>
          <w:tcPr>
            <w:tcW w:w="708" w:type="dxa"/>
            <w:shd w:val="clear" w:color="auto" w:fill="F2F2F2" w:themeFill="background1" w:themeFillShade="F2"/>
            <w:vAlign w:val="center"/>
          </w:tcPr>
          <w:p w14:paraId="594E5140" w14:textId="77777777" w:rsidR="00321C0C" w:rsidRPr="00321C0C" w:rsidRDefault="00321C0C" w:rsidP="00321C0C">
            <w:pPr>
              <w:jc w:val="both"/>
              <w:rPr>
                <w:rFonts w:cstheme="minorHAnsi"/>
                <w:sz w:val="20"/>
                <w:szCs w:val="20"/>
              </w:rPr>
            </w:pPr>
          </w:p>
        </w:tc>
        <w:tc>
          <w:tcPr>
            <w:tcW w:w="709" w:type="dxa"/>
            <w:shd w:val="clear" w:color="auto" w:fill="F2F2F2" w:themeFill="background1" w:themeFillShade="F2"/>
            <w:vAlign w:val="center"/>
          </w:tcPr>
          <w:p w14:paraId="2C8FE403" w14:textId="77777777" w:rsidR="00321C0C" w:rsidRPr="00321C0C" w:rsidRDefault="00321C0C" w:rsidP="00321C0C">
            <w:pPr>
              <w:jc w:val="both"/>
              <w:rPr>
                <w:rFonts w:cstheme="minorHAnsi"/>
                <w:sz w:val="20"/>
                <w:szCs w:val="20"/>
              </w:rPr>
            </w:pPr>
          </w:p>
        </w:tc>
        <w:tc>
          <w:tcPr>
            <w:tcW w:w="710" w:type="dxa"/>
            <w:shd w:val="clear" w:color="auto" w:fill="F2F2F2" w:themeFill="background1" w:themeFillShade="F2"/>
            <w:vAlign w:val="center"/>
          </w:tcPr>
          <w:p w14:paraId="272AFFD0"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37A4954C"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40004A11"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662656A0"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67D619E8"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1BACB4B2" w14:textId="77777777" w:rsidR="00321C0C" w:rsidRPr="00321C0C" w:rsidRDefault="00321C0C" w:rsidP="00321C0C">
            <w:pPr>
              <w:jc w:val="both"/>
              <w:rPr>
                <w:rFonts w:cstheme="minorHAnsi"/>
                <w:sz w:val="20"/>
                <w:szCs w:val="20"/>
              </w:rPr>
            </w:pPr>
          </w:p>
        </w:tc>
      </w:tr>
      <w:tr w:rsidR="00321C0C" w:rsidRPr="00321C0C" w14:paraId="0C00370C" w14:textId="77777777" w:rsidTr="0096628E">
        <w:trPr>
          <w:jc w:val="center"/>
        </w:trPr>
        <w:tc>
          <w:tcPr>
            <w:tcW w:w="2285" w:type="dxa"/>
            <w:shd w:val="clear" w:color="auto" w:fill="F2F2F2" w:themeFill="background1" w:themeFillShade="F2"/>
          </w:tcPr>
          <w:p w14:paraId="5B92C2EB" w14:textId="77777777" w:rsidR="00321C0C" w:rsidRPr="00321C0C" w:rsidRDefault="00321C0C" w:rsidP="00321C0C">
            <w:pPr>
              <w:spacing w:before="17"/>
              <w:jc w:val="both"/>
              <w:rPr>
                <w:rFonts w:cstheme="minorHAnsi"/>
                <w:sz w:val="20"/>
                <w:szCs w:val="20"/>
                <w:u w:val="single"/>
              </w:rPr>
            </w:pPr>
            <w:r w:rsidRPr="00321C0C">
              <w:rPr>
                <w:rFonts w:cstheme="minorHAnsi"/>
                <w:sz w:val="20"/>
                <w:szCs w:val="20"/>
              </w:rPr>
              <w:t>Docenti</w:t>
            </w:r>
          </w:p>
        </w:tc>
        <w:tc>
          <w:tcPr>
            <w:tcW w:w="705" w:type="dxa"/>
            <w:shd w:val="clear" w:color="auto" w:fill="F2F2F2" w:themeFill="background1" w:themeFillShade="F2"/>
            <w:vAlign w:val="center"/>
          </w:tcPr>
          <w:p w14:paraId="284C8777" w14:textId="77777777" w:rsidR="00321C0C" w:rsidRPr="00321C0C" w:rsidRDefault="00321C0C" w:rsidP="00321C0C">
            <w:pPr>
              <w:jc w:val="both"/>
              <w:rPr>
                <w:rFonts w:cstheme="minorHAnsi"/>
                <w:sz w:val="20"/>
                <w:szCs w:val="20"/>
              </w:rPr>
            </w:pPr>
          </w:p>
        </w:tc>
        <w:tc>
          <w:tcPr>
            <w:tcW w:w="707" w:type="dxa"/>
            <w:shd w:val="clear" w:color="auto" w:fill="F2F2F2" w:themeFill="background1" w:themeFillShade="F2"/>
            <w:vAlign w:val="center"/>
          </w:tcPr>
          <w:p w14:paraId="1AF5AEC2" w14:textId="77777777" w:rsidR="00321C0C" w:rsidRPr="00321C0C" w:rsidRDefault="00321C0C" w:rsidP="00321C0C">
            <w:pPr>
              <w:jc w:val="both"/>
              <w:rPr>
                <w:rFonts w:cstheme="minorHAnsi"/>
                <w:sz w:val="20"/>
                <w:szCs w:val="20"/>
              </w:rPr>
            </w:pPr>
          </w:p>
        </w:tc>
        <w:tc>
          <w:tcPr>
            <w:tcW w:w="710" w:type="dxa"/>
            <w:shd w:val="clear" w:color="auto" w:fill="F2F2F2" w:themeFill="background1" w:themeFillShade="F2"/>
            <w:vAlign w:val="center"/>
          </w:tcPr>
          <w:p w14:paraId="5E3E09BD" w14:textId="77777777" w:rsidR="00321C0C" w:rsidRPr="00321C0C" w:rsidRDefault="00321C0C" w:rsidP="00321C0C">
            <w:pPr>
              <w:jc w:val="both"/>
              <w:rPr>
                <w:rFonts w:cstheme="minorHAnsi"/>
                <w:sz w:val="20"/>
                <w:szCs w:val="20"/>
              </w:rPr>
            </w:pPr>
          </w:p>
        </w:tc>
        <w:tc>
          <w:tcPr>
            <w:tcW w:w="709" w:type="dxa"/>
            <w:shd w:val="clear" w:color="auto" w:fill="F2F2F2" w:themeFill="background1" w:themeFillShade="F2"/>
            <w:vAlign w:val="center"/>
          </w:tcPr>
          <w:p w14:paraId="0D087985" w14:textId="77777777" w:rsidR="00321C0C" w:rsidRPr="00321C0C" w:rsidRDefault="00321C0C" w:rsidP="00321C0C">
            <w:pPr>
              <w:jc w:val="both"/>
              <w:rPr>
                <w:rFonts w:cstheme="minorHAnsi"/>
                <w:sz w:val="20"/>
                <w:szCs w:val="20"/>
              </w:rPr>
            </w:pPr>
          </w:p>
        </w:tc>
        <w:tc>
          <w:tcPr>
            <w:tcW w:w="708" w:type="dxa"/>
            <w:shd w:val="clear" w:color="auto" w:fill="F2F2F2" w:themeFill="background1" w:themeFillShade="F2"/>
            <w:vAlign w:val="center"/>
          </w:tcPr>
          <w:p w14:paraId="192A9F56" w14:textId="77777777" w:rsidR="00321C0C" w:rsidRPr="00321C0C" w:rsidRDefault="00321C0C" w:rsidP="00321C0C">
            <w:pPr>
              <w:jc w:val="both"/>
              <w:rPr>
                <w:rFonts w:cstheme="minorHAnsi"/>
                <w:sz w:val="20"/>
                <w:szCs w:val="20"/>
              </w:rPr>
            </w:pPr>
          </w:p>
        </w:tc>
        <w:tc>
          <w:tcPr>
            <w:tcW w:w="709" w:type="dxa"/>
            <w:shd w:val="clear" w:color="auto" w:fill="F2F2F2" w:themeFill="background1" w:themeFillShade="F2"/>
            <w:vAlign w:val="center"/>
          </w:tcPr>
          <w:p w14:paraId="132F6CAE" w14:textId="77777777" w:rsidR="00321C0C" w:rsidRPr="00321C0C" w:rsidRDefault="00321C0C" w:rsidP="00321C0C">
            <w:pPr>
              <w:jc w:val="both"/>
              <w:rPr>
                <w:rFonts w:cstheme="minorHAnsi"/>
                <w:sz w:val="20"/>
                <w:szCs w:val="20"/>
              </w:rPr>
            </w:pPr>
          </w:p>
        </w:tc>
        <w:tc>
          <w:tcPr>
            <w:tcW w:w="710" w:type="dxa"/>
            <w:shd w:val="clear" w:color="auto" w:fill="F2F2F2" w:themeFill="background1" w:themeFillShade="F2"/>
            <w:vAlign w:val="center"/>
          </w:tcPr>
          <w:p w14:paraId="1D68F8CC"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5F1D7CAE"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0944FF7F"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370A6E46"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263543AE"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6472324A" w14:textId="77777777" w:rsidR="00321C0C" w:rsidRPr="00321C0C" w:rsidRDefault="00321C0C" w:rsidP="00321C0C">
            <w:pPr>
              <w:jc w:val="both"/>
              <w:rPr>
                <w:rFonts w:cstheme="minorHAnsi"/>
                <w:sz w:val="20"/>
                <w:szCs w:val="20"/>
              </w:rPr>
            </w:pPr>
          </w:p>
        </w:tc>
      </w:tr>
      <w:tr w:rsidR="00321C0C" w:rsidRPr="00321C0C" w14:paraId="359F1515" w14:textId="77777777" w:rsidTr="0096628E">
        <w:trPr>
          <w:jc w:val="center"/>
        </w:trPr>
        <w:tc>
          <w:tcPr>
            <w:tcW w:w="2285" w:type="dxa"/>
            <w:shd w:val="clear" w:color="auto" w:fill="F2F2F2" w:themeFill="background1" w:themeFillShade="F2"/>
          </w:tcPr>
          <w:p w14:paraId="7F4C8BFD" w14:textId="77777777" w:rsidR="00321C0C" w:rsidRPr="00321C0C" w:rsidRDefault="00321C0C" w:rsidP="00321C0C">
            <w:pPr>
              <w:spacing w:before="17"/>
              <w:jc w:val="both"/>
              <w:rPr>
                <w:rFonts w:cstheme="minorHAnsi"/>
                <w:sz w:val="20"/>
                <w:szCs w:val="20"/>
              </w:rPr>
            </w:pPr>
            <w:r w:rsidRPr="00321C0C">
              <w:rPr>
                <w:rFonts w:cstheme="minorHAnsi"/>
                <w:sz w:val="20"/>
                <w:szCs w:val="20"/>
              </w:rPr>
              <w:t>Odborní asistenti</w:t>
            </w:r>
          </w:p>
        </w:tc>
        <w:tc>
          <w:tcPr>
            <w:tcW w:w="705" w:type="dxa"/>
            <w:shd w:val="clear" w:color="auto" w:fill="F2F2F2" w:themeFill="background1" w:themeFillShade="F2"/>
            <w:vAlign w:val="center"/>
          </w:tcPr>
          <w:p w14:paraId="36A377CD" w14:textId="77777777" w:rsidR="00321C0C" w:rsidRPr="00321C0C" w:rsidRDefault="00321C0C" w:rsidP="00321C0C">
            <w:pPr>
              <w:jc w:val="both"/>
              <w:rPr>
                <w:rFonts w:cstheme="minorHAnsi"/>
                <w:sz w:val="20"/>
                <w:szCs w:val="20"/>
              </w:rPr>
            </w:pPr>
          </w:p>
        </w:tc>
        <w:tc>
          <w:tcPr>
            <w:tcW w:w="707" w:type="dxa"/>
            <w:shd w:val="clear" w:color="auto" w:fill="F2F2F2" w:themeFill="background1" w:themeFillShade="F2"/>
            <w:vAlign w:val="center"/>
          </w:tcPr>
          <w:p w14:paraId="3837B5EF" w14:textId="77777777" w:rsidR="00321C0C" w:rsidRPr="00321C0C" w:rsidRDefault="00321C0C" w:rsidP="00321C0C">
            <w:pPr>
              <w:jc w:val="both"/>
              <w:rPr>
                <w:rFonts w:cstheme="minorHAnsi"/>
                <w:sz w:val="20"/>
                <w:szCs w:val="20"/>
              </w:rPr>
            </w:pPr>
          </w:p>
        </w:tc>
        <w:tc>
          <w:tcPr>
            <w:tcW w:w="710" w:type="dxa"/>
            <w:shd w:val="clear" w:color="auto" w:fill="F2F2F2" w:themeFill="background1" w:themeFillShade="F2"/>
            <w:vAlign w:val="center"/>
          </w:tcPr>
          <w:p w14:paraId="4C4B7015" w14:textId="77777777" w:rsidR="00321C0C" w:rsidRPr="00321C0C" w:rsidRDefault="00321C0C" w:rsidP="00321C0C">
            <w:pPr>
              <w:jc w:val="both"/>
              <w:rPr>
                <w:rFonts w:cstheme="minorHAnsi"/>
                <w:sz w:val="20"/>
                <w:szCs w:val="20"/>
              </w:rPr>
            </w:pPr>
          </w:p>
        </w:tc>
        <w:tc>
          <w:tcPr>
            <w:tcW w:w="709" w:type="dxa"/>
            <w:shd w:val="clear" w:color="auto" w:fill="F2F2F2" w:themeFill="background1" w:themeFillShade="F2"/>
            <w:vAlign w:val="center"/>
          </w:tcPr>
          <w:p w14:paraId="0517C2CE" w14:textId="77777777" w:rsidR="00321C0C" w:rsidRPr="00321C0C" w:rsidRDefault="00321C0C" w:rsidP="00321C0C">
            <w:pPr>
              <w:jc w:val="both"/>
              <w:rPr>
                <w:rFonts w:cstheme="minorHAnsi"/>
                <w:sz w:val="20"/>
                <w:szCs w:val="20"/>
              </w:rPr>
            </w:pPr>
          </w:p>
        </w:tc>
        <w:tc>
          <w:tcPr>
            <w:tcW w:w="708" w:type="dxa"/>
            <w:shd w:val="clear" w:color="auto" w:fill="F2F2F2" w:themeFill="background1" w:themeFillShade="F2"/>
            <w:vAlign w:val="center"/>
          </w:tcPr>
          <w:p w14:paraId="7B98FEE5" w14:textId="77777777" w:rsidR="00321C0C" w:rsidRPr="00321C0C" w:rsidRDefault="00321C0C" w:rsidP="00321C0C">
            <w:pPr>
              <w:jc w:val="both"/>
              <w:rPr>
                <w:rFonts w:cstheme="minorHAnsi"/>
                <w:sz w:val="20"/>
                <w:szCs w:val="20"/>
              </w:rPr>
            </w:pPr>
          </w:p>
        </w:tc>
        <w:tc>
          <w:tcPr>
            <w:tcW w:w="709" w:type="dxa"/>
            <w:shd w:val="clear" w:color="auto" w:fill="F2F2F2" w:themeFill="background1" w:themeFillShade="F2"/>
            <w:vAlign w:val="center"/>
          </w:tcPr>
          <w:p w14:paraId="3777A1E2" w14:textId="77777777" w:rsidR="00321C0C" w:rsidRPr="00321C0C" w:rsidRDefault="00321C0C" w:rsidP="00321C0C">
            <w:pPr>
              <w:jc w:val="both"/>
              <w:rPr>
                <w:rFonts w:cstheme="minorHAnsi"/>
                <w:sz w:val="20"/>
                <w:szCs w:val="20"/>
              </w:rPr>
            </w:pPr>
          </w:p>
        </w:tc>
        <w:tc>
          <w:tcPr>
            <w:tcW w:w="710" w:type="dxa"/>
            <w:shd w:val="clear" w:color="auto" w:fill="F2F2F2" w:themeFill="background1" w:themeFillShade="F2"/>
            <w:vAlign w:val="center"/>
          </w:tcPr>
          <w:p w14:paraId="038A3D56"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695FC4BC"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1A0B5EDA"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4142A304"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3474B7C8"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7CBB39A3" w14:textId="77777777" w:rsidR="00321C0C" w:rsidRPr="00321C0C" w:rsidRDefault="00321C0C" w:rsidP="00321C0C">
            <w:pPr>
              <w:jc w:val="both"/>
              <w:rPr>
                <w:rFonts w:cstheme="minorHAnsi"/>
                <w:sz w:val="20"/>
                <w:szCs w:val="20"/>
              </w:rPr>
            </w:pPr>
          </w:p>
        </w:tc>
      </w:tr>
      <w:tr w:rsidR="00321C0C" w:rsidRPr="00321C0C" w14:paraId="7319FFD7" w14:textId="77777777" w:rsidTr="0096628E">
        <w:trPr>
          <w:jc w:val="center"/>
        </w:trPr>
        <w:tc>
          <w:tcPr>
            <w:tcW w:w="2285" w:type="dxa"/>
            <w:shd w:val="clear" w:color="auto" w:fill="F2F2F2" w:themeFill="background1" w:themeFillShade="F2"/>
          </w:tcPr>
          <w:p w14:paraId="32F88BA4" w14:textId="77777777" w:rsidR="00321C0C" w:rsidRPr="00321C0C" w:rsidRDefault="00321C0C" w:rsidP="00321C0C">
            <w:pPr>
              <w:spacing w:before="17"/>
              <w:jc w:val="both"/>
              <w:rPr>
                <w:rFonts w:cstheme="minorHAnsi"/>
                <w:sz w:val="20"/>
                <w:szCs w:val="20"/>
                <w:u w:val="single"/>
              </w:rPr>
            </w:pPr>
            <w:r w:rsidRPr="00321C0C">
              <w:rPr>
                <w:rFonts w:cstheme="minorHAnsi"/>
                <w:sz w:val="20"/>
                <w:szCs w:val="20"/>
              </w:rPr>
              <w:t>Asistenti</w:t>
            </w:r>
          </w:p>
        </w:tc>
        <w:tc>
          <w:tcPr>
            <w:tcW w:w="705" w:type="dxa"/>
            <w:shd w:val="clear" w:color="auto" w:fill="F2F2F2" w:themeFill="background1" w:themeFillShade="F2"/>
            <w:vAlign w:val="center"/>
          </w:tcPr>
          <w:p w14:paraId="0411D139" w14:textId="77777777" w:rsidR="00321C0C" w:rsidRPr="00321C0C" w:rsidRDefault="00321C0C" w:rsidP="00321C0C">
            <w:pPr>
              <w:jc w:val="both"/>
              <w:rPr>
                <w:rFonts w:cstheme="minorHAnsi"/>
                <w:sz w:val="20"/>
                <w:szCs w:val="20"/>
              </w:rPr>
            </w:pPr>
          </w:p>
        </w:tc>
        <w:tc>
          <w:tcPr>
            <w:tcW w:w="707" w:type="dxa"/>
            <w:shd w:val="clear" w:color="auto" w:fill="F2F2F2" w:themeFill="background1" w:themeFillShade="F2"/>
            <w:vAlign w:val="center"/>
          </w:tcPr>
          <w:p w14:paraId="3A94257D" w14:textId="77777777" w:rsidR="00321C0C" w:rsidRPr="00321C0C" w:rsidRDefault="00321C0C" w:rsidP="00321C0C">
            <w:pPr>
              <w:jc w:val="both"/>
              <w:rPr>
                <w:rFonts w:cstheme="minorHAnsi"/>
                <w:sz w:val="20"/>
                <w:szCs w:val="20"/>
              </w:rPr>
            </w:pPr>
          </w:p>
        </w:tc>
        <w:tc>
          <w:tcPr>
            <w:tcW w:w="710" w:type="dxa"/>
            <w:shd w:val="clear" w:color="auto" w:fill="F2F2F2" w:themeFill="background1" w:themeFillShade="F2"/>
            <w:vAlign w:val="center"/>
          </w:tcPr>
          <w:p w14:paraId="606F0593" w14:textId="77777777" w:rsidR="00321C0C" w:rsidRPr="00321C0C" w:rsidRDefault="00321C0C" w:rsidP="00321C0C">
            <w:pPr>
              <w:jc w:val="both"/>
              <w:rPr>
                <w:rFonts w:cstheme="minorHAnsi"/>
                <w:sz w:val="20"/>
                <w:szCs w:val="20"/>
              </w:rPr>
            </w:pPr>
          </w:p>
        </w:tc>
        <w:tc>
          <w:tcPr>
            <w:tcW w:w="709" w:type="dxa"/>
            <w:shd w:val="clear" w:color="auto" w:fill="F2F2F2" w:themeFill="background1" w:themeFillShade="F2"/>
            <w:vAlign w:val="center"/>
          </w:tcPr>
          <w:p w14:paraId="1E35B817" w14:textId="77777777" w:rsidR="00321C0C" w:rsidRPr="00321C0C" w:rsidRDefault="00321C0C" w:rsidP="00321C0C">
            <w:pPr>
              <w:jc w:val="both"/>
              <w:rPr>
                <w:rFonts w:cstheme="minorHAnsi"/>
                <w:sz w:val="20"/>
                <w:szCs w:val="20"/>
              </w:rPr>
            </w:pPr>
          </w:p>
        </w:tc>
        <w:tc>
          <w:tcPr>
            <w:tcW w:w="708" w:type="dxa"/>
            <w:shd w:val="clear" w:color="auto" w:fill="F2F2F2" w:themeFill="background1" w:themeFillShade="F2"/>
            <w:vAlign w:val="center"/>
          </w:tcPr>
          <w:p w14:paraId="0DE3FC1C" w14:textId="77777777" w:rsidR="00321C0C" w:rsidRPr="00321C0C" w:rsidRDefault="00321C0C" w:rsidP="00321C0C">
            <w:pPr>
              <w:jc w:val="both"/>
              <w:rPr>
                <w:rFonts w:cstheme="minorHAnsi"/>
                <w:sz w:val="20"/>
                <w:szCs w:val="20"/>
              </w:rPr>
            </w:pPr>
          </w:p>
        </w:tc>
        <w:tc>
          <w:tcPr>
            <w:tcW w:w="709" w:type="dxa"/>
            <w:shd w:val="clear" w:color="auto" w:fill="F2F2F2" w:themeFill="background1" w:themeFillShade="F2"/>
            <w:vAlign w:val="center"/>
          </w:tcPr>
          <w:p w14:paraId="7E4B8906" w14:textId="77777777" w:rsidR="00321C0C" w:rsidRPr="00321C0C" w:rsidRDefault="00321C0C" w:rsidP="00321C0C">
            <w:pPr>
              <w:jc w:val="both"/>
              <w:rPr>
                <w:rFonts w:cstheme="minorHAnsi"/>
                <w:sz w:val="20"/>
                <w:szCs w:val="20"/>
              </w:rPr>
            </w:pPr>
          </w:p>
        </w:tc>
        <w:tc>
          <w:tcPr>
            <w:tcW w:w="710" w:type="dxa"/>
            <w:shd w:val="clear" w:color="auto" w:fill="F2F2F2" w:themeFill="background1" w:themeFillShade="F2"/>
            <w:vAlign w:val="center"/>
          </w:tcPr>
          <w:p w14:paraId="32D496A1"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20A36440"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3749A2D9"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1EF93022"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58B83EE6"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2F51E063" w14:textId="77777777" w:rsidR="00321C0C" w:rsidRPr="00321C0C" w:rsidRDefault="00321C0C" w:rsidP="00321C0C">
            <w:pPr>
              <w:jc w:val="both"/>
              <w:rPr>
                <w:rFonts w:cstheme="minorHAnsi"/>
                <w:sz w:val="20"/>
                <w:szCs w:val="20"/>
              </w:rPr>
            </w:pPr>
          </w:p>
        </w:tc>
      </w:tr>
      <w:tr w:rsidR="00321C0C" w:rsidRPr="00321C0C" w14:paraId="6398873B" w14:textId="77777777" w:rsidTr="0096628E">
        <w:trPr>
          <w:jc w:val="center"/>
        </w:trPr>
        <w:tc>
          <w:tcPr>
            <w:tcW w:w="2285" w:type="dxa"/>
            <w:shd w:val="clear" w:color="auto" w:fill="F2F2F2" w:themeFill="background1" w:themeFillShade="F2"/>
          </w:tcPr>
          <w:p w14:paraId="4778DF0E" w14:textId="77777777" w:rsidR="00321C0C" w:rsidRPr="00321C0C" w:rsidRDefault="00321C0C" w:rsidP="00321C0C">
            <w:pPr>
              <w:spacing w:before="17"/>
              <w:jc w:val="both"/>
              <w:rPr>
                <w:rFonts w:cstheme="minorHAnsi"/>
                <w:sz w:val="20"/>
                <w:szCs w:val="20"/>
                <w:u w:val="single"/>
              </w:rPr>
            </w:pPr>
            <w:r w:rsidRPr="00321C0C">
              <w:rPr>
                <w:rFonts w:cstheme="minorHAnsi"/>
                <w:sz w:val="20"/>
                <w:szCs w:val="20"/>
              </w:rPr>
              <w:t>Vědečtí, výzkumní a vývojoví pracovníci podílející se na pedagogické činnosti</w:t>
            </w:r>
          </w:p>
        </w:tc>
        <w:tc>
          <w:tcPr>
            <w:tcW w:w="705" w:type="dxa"/>
            <w:shd w:val="clear" w:color="auto" w:fill="F2F2F2" w:themeFill="background1" w:themeFillShade="F2"/>
            <w:vAlign w:val="center"/>
          </w:tcPr>
          <w:p w14:paraId="0311F0FC" w14:textId="77777777" w:rsidR="00321C0C" w:rsidRPr="00321C0C" w:rsidRDefault="00321C0C" w:rsidP="00321C0C">
            <w:pPr>
              <w:jc w:val="both"/>
              <w:rPr>
                <w:rFonts w:cstheme="minorHAnsi"/>
                <w:sz w:val="20"/>
                <w:szCs w:val="20"/>
              </w:rPr>
            </w:pPr>
          </w:p>
        </w:tc>
        <w:tc>
          <w:tcPr>
            <w:tcW w:w="707" w:type="dxa"/>
            <w:shd w:val="clear" w:color="auto" w:fill="F2F2F2" w:themeFill="background1" w:themeFillShade="F2"/>
            <w:vAlign w:val="center"/>
          </w:tcPr>
          <w:p w14:paraId="62569F4E" w14:textId="77777777" w:rsidR="00321C0C" w:rsidRPr="00321C0C" w:rsidRDefault="00321C0C" w:rsidP="00321C0C">
            <w:pPr>
              <w:jc w:val="both"/>
              <w:rPr>
                <w:rFonts w:cstheme="minorHAnsi"/>
                <w:sz w:val="20"/>
                <w:szCs w:val="20"/>
              </w:rPr>
            </w:pPr>
          </w:p>
        </w:tc>
        <w:tc>
          <w:tcPr>
            <w:tcW w:w="710" w:type="dxa"/>
            <w:shd w:val="clear" w:color="auto" w:fill="F2F2F2" w:themeFill="background1" w:themeFillShade="F2"/>
            <w:vAlign w:val="center"/>
          </w:tcPr>
          <w:p w14:paraId="302A502D" w14:textId="77777777" w:rsidR="00321C0C" w:rsidRPr="00321C0C" w:rsidRDefault="00321C0C" w:rsidP="00321C0C">
            <w:pPr>
              <w:jc w:val="both"/>
              <w:rPr>
                <w:rFonts w:cstheme="minorHAnsi"/>
                <w:sz w:val="20"/>
                <w:szCs w:val="20"/>
              </w:rPr>
            </w:pPr>
          </w:p>
        </w:tc>
        <w:tc>
          <w:tcPr>
            <w:tcW w:w="709" w:type="dxa"/>
            <w:shd w:val="clear" w:color="auto" w:fill="F2F2F2" w:themeFill="background1" w:themeFillShade="F2"/>
            <w:vAlign w:val="center"/>
          </w:tcPr>
          <w:p w14:paraId="62529AD9" w14:textId="77777777" w:rsidR="00321C0C" w:rsidRPr="00321C0C" w:rsidRDefault="00321C0C" w:rsidP="00321C0C">
            <w:pPr>
              <w:jc w:val="both"/>
              <w:rPr>
                <w:rFonts w:cstheme="minorHAnsi"/>
                <w:sz w:val="20"/>
                <w:szCs w:val="20"/>
              </w:rPr>
            </w:pPr>
          </w:p>
        </w:tc>
        <w:tc>
          <w:tcPr>
            <w:tcW w:w="708" w:type="dxa"/>
            <w:shd w:val="clear" w:color="auto" w:fill="F2F2F2" w:themeFill="background1" w:themeFillShade="F2"/>
            <w:vAlign w:val="center"/>
          </w:tcPr>
          <w:p w14:paraId="160B6222" w14:textId="77777777" w:rsidR="00321C0C" w:rsidRPr="00321C0C" w:rsidRDefault="00321C0C" w:rsidP="00321C0C">
            <w:pPr>
              <w:jc w:val="both"/>
              <w:rPr>
                <w:rFonts w:cstheme="minorHAnsi"/>
                <w:sz w:val="20"/>
                <w:szCs w:val="20"/>
              </w:rPr>
            </w:pPr>
          </w:p>
        </w:tc>
        <w:tc>
          <w:tcPr>
            <w:tcW w:w="709" w:type="dxa"/>
            <w:shd w:val="clear" w:color="auto" w:fill="F2F2F2" w:themeFill="background1" w:themeFillShade="F2"/>
            <w:vAlign w:val="center"/>
          </w:tcPr>
          <w:p w14:paraId="4DC06A06" w14:textId="77777777" w:rsidR="00321C0C" w:rsidRPr="00321C0C" w:rsidRDefault="00321C0C" w:rsidP="00321C0C">
            <w:pPr>
              <w:jc w:val="both"/>
              <w:rPr>
                <w:rFonts w:cstheme="minorHAnsi"/>
                <w:sz w:val="20"/>
                <w:szCs w:val="20"/>
              </w:rPr>
            </w:pPr>
          </w:p>
        </w:tc>
        <w:tc>
          <w:tcPr>
            <w:tcW w:w="710" w:type="dxa"/>
            <w:shd w:val="clear" w:color="auto" w:fill="F2F2F2" w:themeFill="background1" w:themeFillShade="F2"/>
            <w:vAlign w:val="center"/>
          </w:tcPr>
          <w:p w14:paraId="69B04071"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29A52E35"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40EA6419"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7B0ED970"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03B88D09"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5A0742BF" w14:textId="77777777" w:rsidR="00321C0C" w:rsidRPr="00321C0C" w:rsidRDefault="00321C0C" w:rsidP="00321C0C">
            <w:pPr>
              <w:jc w:val="both"/>
              <w:rPr>
                <w:rFonts w:cstheme="minorHAnsi"/>
                <w:sz w:val="20"/>
                <w:szCs w:val="20"/>
              </w:rPr>
            </w:pPr>
          </w:p>
        </w:tc>
      </w:tr>
      <w:tr w:rsidR="00321C0C" w:rsidRPr="00321C0C" w14:paraId="56F9AF12" w14:textId="77777777" w:rsidTr="0096628E">
        <w:trPr>
          <w:jc w:val="center"/>
        </w:trPr>
        <w:tc>
          <w:tcPr>
            <w:tcW w:w="2285" w:type="dxa"/>
            <w:shd w:val="clear" w:color="auto" w:fill="F2F2F2" w:themeFill="background1" w:themeFillShade="F2"/>
          </w:tcPr>
          <w:p w14:paraId="6D88C736" w14:textId="77777777" w:rsidR="00321C0C" w:rsidRPr="00321C0C" w:rsidRDefault="00321C0C" w:rsidP="00321C0C">
            <w:pPr>
              <w:spacing w:before="17"/>
              <w:jc w:val="both"/>
              <w:rPr>
                <w:rFonts w:cstheme="minorHAnsi"/>
                <w:sz w:val="20"/>
                <w:szCs w:val="20"/>
                <w:u w:val="single"/>
              </w:rPr>
            </w:pPr>
            <w:proofErr w:type="spellStart"/>
            <w:r w:rsidRPr="00321C0C">
              <w:rPr>
                <w:rFonts w:cstheme="minorHAnsi"/>
                <w:sz w:val="20"/>
                <w:szCs w:val="20"/>
              </w:rPr>
              <w:t>Postdoktorandi</w:t>
            </w:r>
            <w:proofErr w:type="spellEnd"/>
            <w:r w:rsidRPr="00321C0C">
              <w:rPr>
                <w:rFonts w:cstheme="minorHAnsi"/>
                <w:sz w:val="20"/>
                <w:szCs w:val="20"/>
              </w:rPr>
              <w:t xml:space="preserve"> („</w:t>
            </w:r>
            <w:proofErr w:type="spellStart"/>
            <w:r w:rsidRPr="00321C0C">
              <w:rPr>
                <w:rFonts w:cstheme="minorHAnsi"/>
                <w:sz w:val="20"/>
                <w:szCs w:val="20"/>
              </w:rPr>
              <w:t>postdok</w:t>
            </w:r>
            <w:proofErr w:type="spellEnd"/>
            <w:r w:rsidRPr="00321C0C">
              <w:rPr>
                <w:rFonts w:cstheme="minorHAnsi"/>
                <w:sz w:val="20"/>
                <w:szCs w:val="20"/>
              </w:rPr>
              <w:t>“)</w:t>
            </w:r>
          </w:p>
        </w:tc>
        <w:tc>
          <w:tcPr>
            <w:tcW w:w="705" w:type="dxa"/>
            <w:shd w:val="clear" w:color="auto" w:fill="F2F2F2" w:themeFill="background1" w:themeFillShade="F2"/>
            <w:vAlign w:val="center"/>
          </w:tcPr>
          <w:p w14:paraId="334F4839" w14:textId="77777777" w:rsidR="00321C0C" w:rsidRPr="00321C0C" w:rsidRDefault="00321C0C" w:rsidP="00321C0C">
            <w:pPr>
              <w:jc w:val="both"/>
              <w:rPr>
                <w:rFonts w:cstheme="minorHAnsi"/>
                <w:sz w:val="20"/>
                <w:szCs w:val="20"/>
              </w:rPr>
            </w:pPr>
          </w:p>
        </w:tc>
        <w:tc>
          <w:tcPr>
            <w:tcW w:w="707" w:type="dxa"/>
            <w:shd w:val="clear" w:color="auto" w:fill="F2F2F2" w:themeFill="background1" w:themeFillShade="F2"/>
            <w:vAlign w:val="center"/>
          </w:tcPr>
          <w:p w14:paraId="039271E0" w14:textId="77777777" w:rsidR="00321C0C" w:rsidRPr="00321C0C" w:rsidRDefault="00321C0C" w:rsidP="00321C0C">
            <w:pPr>
              <w:jc w:val="both"/>
              <w:rPr>
                <w:rFonts w:cstheme="minorHAnsi"/>
                <w:sz w:val="20"/>
                <w:szCs w:val="20"/>
              </w:rPr>
            </w:pPr>
          </w:p>
        </w:tc>
        <w:tc>
          <w:tcPr>
            <w:tcW w:w="710" w:type="dxa"/>
            <w:shd w:val="clear" w:color="auto" w:fill="F2F2F2" w:themeFill="background1" w:themeFillShade="F2"/>
            <w:vAlign w:val="center"/>
          </w:tcPr>
          <w:p w14:paraId="24275693" w14:textId="77777777" w:rsidR="00321C0C" w:rsidRPr="00321C0C" w:rsidRDefault="00321C0C" w:rsidP="00321C0C">
            <w:pPr>
              <w:jc w:val="both"/>
              <w:rPr>
                <w:rFonts w:cstheme="minorHAnsi"/>
                <w:sz w:val="20"/>
                <w:szCs w:val="20"/>
              </w:rPr>
            </w:pPr>
          </w:p>
        </w:tc>
        <w:tc>
          <w:tcPr>
            <w:tcW w:w="709" w:type="dxa"/>
            <w:shd w:val="clear" w:color="auto" w:fill="F2F2F2" w:themeFill="background1" w:themeFillShade="F2"/>
            <w:vAlign w:val="center"/>
          </w:tcPr>
          <w:p w14:paraId="143101B9" w14:textId="77777777" w:rsidR="00321C0C" w:rsidRPr="00321C0C" w:rsidRDefault="00321C0C" w:rsidP="00321C0C">
            <w:pPr>
              <w:jc w:val="both"/>
              <w:rPr>
                <w:rFonts w:cstheme="minorHAnsi"/>
                <w:sz w:val="20"/>
                <w:szCs w:val="20"/>
              </w:rPr>
            </w:pPr>
          </w:p>
        </w:tc>
        <w:tc>
          <w:tcPr>
            <w:tcW w:w="708" w:type="dxa"/>
            <w:shd w:val="clear" w:color="auto" w:fill="F2F2F2" w:themeFill="background1" w:themeFillShade="F2"/>
            <w:vAlign w:val="center"/>
          </w:tcPr>
          <w:p w14:paraId="371BD227" w14:textId="77777777" w:rsidR="00321C0C" w:rsidRPr="00321C0C" w:rsidRDefault="00321C0C" w:rsidP="00321C0C">
            <w:pPr>
              <w:jc w:val="both"/>
              <w:rPr>
                <w:rFonts w:cstheme="minorHAnsi"/>
                <w:sz w:val="20"/>
                <w:szCs w:val="20"/>
              </w:rPr>
            </w:pPr>
          </w:p>
        </w:tc>
        <w:tc>
          <w:tcPr>
            <w:tcW w:w="709" w:type="dxa"/>
            <w:shd w:val="clear" w:color="auto" w:fill="F2F2F2" w:themeFill="background1" w:themeFillShade="F2"/>
            <w:vAlign w:val="center"/>
          </w:tcPr>
          <w:p w14:paraId="4159E1A2" w14:textId="77777777" w:rsidR="00321C0C" w:rsidRPr="00321C0C" w:rsidRDefault="00321C0C" w:rsidP="00321C0C">
            <w:pPr>
              <w:jc w:val="both"/>
              <w:rPr>
                <w:rFonts w:cstheme="minorHAnsi"/>
                <w:sz w:val="20"/>
                <w:szCs w:val="20"/>
              </w:rPr>
            </w:pPr>
          </w:p>
        </w:tc>
        <w:tc>
          <w:tcPr>
            <w:tcW w:w="710" w:type="dxa"/>
            <w:shd w:val="clear" w:color="auto" w:fill="F2F2F2" w:themeFill="background1" w:themeFillShade="F2"/>
            <w:vAlign w:val="center"/>
          </w:tcPr>
          <w:p w14:paraId="3031D7EC"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03354AEF"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2E887044"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4347B872"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317BD2CB"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7652865E" w14:textId="77777777" w:rsidR="00321C0C" w:rsidRPr="00321C0C" w:rsidRDefault="00321C0C" w:rsidP="00321C0C">
            <w:pPr>
              <w:jc w:val="both"/>
              <w:rPr>
                <w:rFonts w:cstheme="minorHAnsi"/>
                <w:sz w:val="20"/>
                <w:szCs w:val="20"/>
              </w:rPr>
            </w:pPr>
          </w:p>
        </w:tc>
      </w:tr>
      <w:tr w:rsidR="00321C0C" w:rsidRPr="00321C0C" w14:paraId="60DC2200" w14:textId="77777777" w:rsidTr="0096628E">
        <w:trPr>
          <w:jc w:val="center"/>
        </w:trPr>
        <w:tc>
          <w:tcPr>
            <w:tcW w:w="2285" w:type="dxa"/>
            <w:shd w:val="clear" w:color="auto" w:fill="F2F2F2" w:themeFill="background1" w:themeFillShade="F2"/>
          </w:tcPr>
          <w:p w14:paraId="43BE272C" w14:textId="77777777" w:rsidR="00321C0C" w:rsidRPr="00321C0C" w:rsidRDefault="00321C0C" w:rsidP="00321C0C">
            <w:pPr>
              <w:spacing w:before="17"/>
              <w:jc w:val="both"/>
              <w:rPr>
                <w:rFonts w:cstheme="minorHAnsi"/>
                <w:sz w:val="20"/>
                <w:szCs w:val="20"/>
                <w:u w:val="single"/>
              </w:rPr>
            </w:pPr>
            <w:r w:rsidRPr="00321C0C">
              <w:rPr>
                <w:rFonts w:cstheme="minorHAnsi"/>
                <w:sz w:val="20"/>
                <w:szCs w:val="20"/>
              </w:rPr>
              <w:t>Ph.D. studenti</w:t>
            </w:r>
          </w:p>
        </w:tc>
        <w:tc>
          <w:tcPr>
            <w:tcW w:w="705" w:type="dxa"/>
            <w:shd w:val="clear" w:color="auto" w:fill="F2F2F2" w:themeFill="background1" w:themeFillShade="F2"/>
            <w:vAlign w:val="center"/>
          </w:tcPr>
          <w:p w14:paraId="70F19075" w14:textId="77777777" w:rsidR="00321C0C" w:rsidRPr="00321C0C" w:rsidRDefault="00321C0C" w:rsidP="00321C0C">
            <w:pPr>
              <w:jc w:val="both"/>
              <w:rPr>
                <w:rFonts w:cstheme="minorHAnsi"/>
                <w:sz w:val="20"/>
                <w:szCs w:val="20"/>
              </w:rPr>
            </w:pPr>
          </w:p>
        </w:tc>
        <w:tc>
          <w:tcPr>
            <w:tcW w:w="707" w:type="dxa"/>
            <w:shd w:val="clear" w:color="auto" w:fill="F2F2F2" w:themeFill="background1" w:themeFillShade="F2"/>
            <w:vAlign w:val="center"/>
          </w:tcPr>
          <w:p w14:paraId="7E3FD1A9" w14:textId="77777777" w:rsidR="00321C0C" w:rsidRPr="00321C0C" w:rsidRDefault="00321C0C" w:rsidP="00321C0C">
            <w:pPr>
              <w:jc w:val="both"/>
              <w:rPr>
                <w:rFonts w:cstheme="minorHAnsi"/>
                <w:sz w:val="20"/>
                <w:szCs w:val="20"/>
              </w:rPr>
            </w:pPr>
          </w:p>
        </w:tc>
        <w:tc>
          <w:tcPr>
            <w:tcW w:w="710" w:type="dxa"/>
            <w:shd w:val="clear" w:color="auto" w:fill="F2F2F2" w:themeFill="background1" w:themeFillShade="F2"/>
            <w:vAlign w:val="center"/>
          </w:tcPr>
          <w:p w14:paraId="715B35A8" w14:textId="77777777" w:rsidR="00321C0C" w:rsidRPr="00321C0C" w:rsidRDefault="00321C0C" w:rsidP="00321C0C">
            <w:pPr>
              <w:jc w:val="both"/>
              <w:rPr>
                <w:rFonts w:cstheme="minorHAnsi"/>
                <w:sz w:val="20"/>
                <w:szCs w:val="20"/>
              </w:rPr>
            </w:pPr>
          </w:p>
        </w:tc>
        <w:tc>
          <w:tcPr>
            <w:tcW w:w="709" w:type="dxa"/>
            <w:shd w:val="clear" w:color="auto" w:fill="F2F2F2" w:themeFill="background1" w:themeFillShade="F2"/>
            <w:vAlign w:val="center"/>
          </w:tcPr>
          <w:p w14:paraId="53265236" w14:textId="77777777" w:rsidR="00321C0C" w:rsidRPr="00321C0C" w:rsidRDefault="00321C0C" w:rsidP="00321C0C">
            <w:pPr>
              <w:jc w:val="both"/>
              <w:rPr>
                <w:rFonts w:cstheme="minorHAnsi"/>
                <w:sz w:val="20"/>
                <w:szCs w:val="20"/>
              </w:rPr>
            </w:pPr>
          </w:p>
        </w:tc>
        <w:tc>
          <w:tcPr>
            <w:tcW w:w="708" w:type="dxa"/>
            <w:shd w:val="clear" w:color="auto" w:fill="F2F2F2" w:themeFill="background1" w:themeFillShade="F2"/>
            <w:vAlign w:val="center"/>
          </w:tcPr>
          <w:p w14:paraId="002CB5EA" w14:textId="77777777" w:rsidR="00321C0C" w:rsidRPr="00321C0C" w:rsidRDefault="00321C0C" w:rsidP="00321C0C">
            <w:pPr>
              <w:jc w:val="both"/>
              <w:rPr>
                <w:rFonts w:cstheme="minorHAnsi"/>
                <w:sz w:val="20"/>
                <w:szCs w:val="20"/>
              </w:rPr>
            </w:pPr>
          </w:p>
        </w:tc>
        <w:tc>
          <w:tcPr>
            <w:tcW w:w="709" w:type="dxa"/>
            <w:shd w:val="clear" w:color="auto" w:fill="F2F2F2" w:themeFill="background1" w:themeFillShade="F2"/>
            <w:vAlign w:val="center"/>
          </w:tcPr>
          <w:p w14:paraId="4E4B92BF" w14:textId="77777777" w:rsidR="00321C0C" w:rsidRPr="00321C0C" w:rsidRDefault="00321C0C" w:rsidP="00321C0C">
            <w:pPr>
              <w:jc w:val="both"/>
              <w:rPr>
                <w:rFonts w:cstheme="minorHAnsi"/>
                <w:sz w:val="20"/>
                <w:szCs w:val="20"/>
              </w:rPr>
            </w:pPr>
          </w:p>
        </w:tc>
        <w:tc>
          <w:tcPr>
            <w:tcW w:w="710" w:type="dxa"/>
            <w:shd w:val="clear" w:color="auto" w:fill="F2F2F2" w:themeFill="background1" w:themeFillShade="F2"/>
            <w:vAlign w:val="center"/>
          </w:tcPr>
          <w:p w14:paraId="444980D4"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52E02C44"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7D0F1214"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46358040"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0D86022D"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690E338A" w14:textId="77777777" w:rsidR="00321C0C" w:rsidRPr="00321C0C" w:rsidRDefault="00321C0C" w:rsidP="00321C0C">
            <w:pPr>
              <w:jc w:val="both"/>
              <w:rPr>
                <w:rFonts w:cstheme="minorHAnsi"/>
                <w:sz w:val="20"/>
                <w:szCs w:val="20"/>
              </w:rPr>
            </w:pPr>
          </w:p>
        </w:tc>
      </w:tr>
      <w:tr w:rsidR="00321C0C" w:rsidRPr="00321C0C" w14:paraId="167C83FC" w14:textId="77777777" w:rsidTr="0096628E">
        <w:trPr>
          <w:jc w:val="center"/>
        </w:trPr>
        <w:tc>
          <w:tcPr>
            <w:tcW w:w="2285" w:type="dxa"/>
            <w:shd w:val="clear" w:color="auto" w:fill="F2F2F2" w:themeFill="background1" w:themeFillShade="F2"/>
          </w:tcPr>
          <w:p w14:paraId="78115747" w14:textId="77777777" w:rsidR="00321C0C" w:rsidRPr="00321C0C" w:rsidRDefault="00321C0C" w:rsidP="00321C0C">
            <w:pPr>
              <w:spacing w:before="17"/>
              <w:jc w:val="both"/>
              <w:rPr>
                <w:rFonts w:cstheme="minorHAnsi"/>
                <w:sz w:val="20"/>
                <w:szCs w:val="20"/>
              </w:rPr>
            </w:pPr>
            <w:r w:rsidRPr="00321C0C">
              <w:rPr>
                <w:rFonts w:cstheme="minorHAnsi"/>
                <w:sz w:val="20"/>
                <w:szCs w:val="20"/>
              </w:rPr>
              <w:t>Ostatní vědečtí, výzkumní a vývojoví pracovníci</w:t>
            </w:r>
          </w:p>
        </w:tc>
        <w:tc>
          <w:tcPr>
            <w:tcW w:w="705" w:type="dxa"/>
            <w:shd w:val="clear" w:color="auto" w:fill="F2F2F2" w:themeFill="background1" w:themeFillShade="F2"/>
            <w:vAlign w:val="center"/>
          </w:tcPr>
          <w:p w14:paraId="4C4E339B" w14:textId="77777777" w:rsidR="00321C0C" w:rsidRPr="00321C0C" w:rsidRDefault="00321C0C" w:rsidP="00321C0C">
            <w:pPr>
              <w:jc w:val="both"/>
              <w:rPr>
                <w:rFonts w:cstheme="minorHAnsi"/>
                <w:sz w:val="20"/>
                <w:szCs w:val="20"/>
              </w:rPr>
            </w:pPr>
          </w:p>
        </w:tc>
        <w:tc>
          <w:tcPr>
            <w:tcW w:w="707" w:type="dxa"/>
            <w:shd w:val="clear" w:color="auto" w:fill="F2F2F2" w:themeFill="background1" w:themeFillShade="F2"/>
            <w:vAlign w:val="center"/>
          </w:tcPr>
          <w:p w14:paraId="6F1EA20A" w14:textId="77777777" w:rsidR="00321C0C" w:rsidRPr="00321C0C" w:rsidRDefault="00321C0C" w:rsidP="00321C0C">
            <w:pPr>
              <w:jc w:val="both"/>
              <w:rPr>
                <w:rFonts w:cstheme="minorHAnsi"/>
                <w:sz w:val="20"/>
                <w:szCs w:val="20"/>
              </w:rPr>
            </w:pPr>
          </w:p>
        </w:tc>
        <w:tc>
          <w:tcPr>
            <w:tcW w:w="710" w:type="dxa"/>
            <w:shd w:val="clear" w:color="auto" w:fill="F2F2F2" w:themeFill="background1" w:themeFillShade="F2"/>
            <w:vAlign w:val="center"/>
          </w:tcPr>
          <w:p w14:paraId="053B4695" w14:textId="77777777" w:rsidR="00321C0C" w:rsidRPr="00321C0C" w:rsidRDefault="00321C0C" w:rsidP="00321C0C">
            <w:pPr>
              <w:jc w:val="both"/>
              <w:rPr>
                <w:rFonts w:cstheme="minorHAnsi"/>
                <w:sz w:val="20"/>
                <w:szCs w:val="20"/>
              </w:rPr>
            </w:pPr>
          </w:p>
        </w:tc>
        <w:tc>
          <w:tcPr>
            <w:tcW w:w="709" w:type="dxa"/>
            <w:shd w:val="clear" w:color="auto" w:fill="F2F2F2" w:themeFill="background1" w:themeFillShade="F2"/>
            <w:vAlign w:val="center"/>
          </w:tcPr>
          <w:p w14:paraId="4E0F79CD" w14:textId="77777777" w:rsidR="00321C0C" w:rsidRPr="00321C0C" w:rsidRDefault="00321C0C" w:rsidP="00321C0C">
            <w:pPr>
              <w:jc w:val="both"/>
              <w:rPr>
                <w:rFonts w:cstheme="minorHAnsi"/>
                <w:sz w:val="20"/>
                <w:szCs w:val="20"/>
              </w:rPr>
            </w:pPr>
          </w:p>
        </w:tc>
        <w:tc>
          <w:tcPr>
            <w:tcW w:w="708" w:type="dxa"/>
            <w:shd w:val="clear" w:color="auto" w:fill="F2F2F2" w:themeFill="background1" w:themeFillShade="F2"/>
            <w:vAlign w:val="center"/>
          </w:tcPr>
          <w:p w14:paraId="42C085BD" w14:textId="77777777" w:rsidR="00321C0C" w:rsidRPr="00321C0C" w:rsidRDefault="00321C0C" w:rsidP="00321C0C">
            <w:pPr>
              <w:jc w:val="both"/>
              <w:rPr>
                <w:rFonts w:cstheme="minorHAnsi"/>
                <w:sz w:val="20"/>
                <w:szCs w:val="20"/>
              </w:rPr>
            </w:pPr>
          </w:p>
        </w:tc>
        <w:tc>
          <w:tcPr>
            <w:tcW w:w="709" w:type="dxa"/>
            <w:shd w:val="clear" w:color="auto" w:fill="F2F2F2" w:themeFill="background1" w:themeFillShade="F2"/>
            <w:vAlign w:val="center"/>
          </w:tcPr>
          <w:p w14:paraId="6ED77C73" w14:textId="77777777" w:rsidR="00321C0C" w:rsidRPr="00321C0C" w:rsidRDefault="00321C0C" w:rsidP="00321C0C">
            <w:pPr>
              <w:jc w:val="both"/>
              <w:rPr>
                <w:rFonts w:cstheme="minorHAnsi"/>
                <w:sz w:val="20"/>
                <w:szCs w:val="20"/>
              </w:rPr>
            </w:pPr>
          </w:p>
        </w:tc>
        <w:tc>
          <w:tcPr>
            <w:tcW w:w="710" w:type="dxa"/>
            <w:shd w:val="clear" w:color="auto" w:fill="F2F2F2" w:themeFill="background1" w:themeFillShade="F2"/>
            <w:vAlign w:val="center"/>
          </w:tcPr>
          <w:p w14:paraId="5BCE2AFB"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0F53CBE8"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1CC24C44"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64F47D08"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126D7BD1" w14:textId="77777777" w:rsidR="00321C0C" w:rsidRPr="00321C0C" w:rsidRDefault="00321C0C" w:rsidP="00321C0C">
            <w:pPr>
              <w:jc w:val="both"/>
              <w:rPr>
                <w:rFonts w:cstheme="minorHAnsi"/>
                <w:sz w:val="20"/>
                <w:szCs w:val="20"/>
              </w:rPr>
            </w:pPr>
          </w:p>
        </w:tc>
        <w:tc>
          <w:tcPr>
            <w:tcW w:w="706" w:type="dxa"/>
            <w:shd w:val="clear" w:color="auto" w:fill="F2F2F2" w:themeFill="background1" w:themeFillShade="F2"/>
            <w:vAlign w:val="center"/>
          </w:tcPr>
          <w:p w14:paraId="0D33C796" w14:textId="77777777" w:rsidR="00321C0C" w:rsidRPr="00321C0C" w:rsidRDefault="00321C0C" w:rsidP="00321C0C">
            <w:pPr>
              <w:jc w:val="both"/>
              <w:rPr>
                <w:rFonts w:cstheme="minorHAnsi"/>
                <w:sz w:val="20"/>
                <w:szCs w:val="20"/>
              </w:rPr>
            </w:pPr>
          </w:p>
        </w:tc>
      </w:tr>
      <w:tr w:rsidR="00321C0C" w:rsidRPr="00321C0C" w14:paraId="30EFAF86" w14:textId="77777777" w:rsidTr="0096628E">
        <w:trPr>
          <w:jc w:val="center"/>
        </w:trPr>
        <w:tc>
          <w:tcPr>
            <w:tcW w:w="2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E020C1" w14:textId="77777777" w:rsidR="00321C0C" w:rsidRPr="00321C0C" w:rsidRDefault="00321C0C" w:rsidP="00321C0C">
            <w:pPr>
              <w:jc w:val="both"/>
              <w:rPr>
                <w:rFonts w:cstheme="minorHAnsi"/>
                <w:sz w:val="20"/>
                <w:szCs w:val="20"/>
              </w:rPr>
            </w:pPr>
            <w:r w:rsidRPr="00321C0C">
              <w:rPr>
                <w:rFonts w:cstheme="minorHAnsi"/>
                <w:sz w:val="20"/>
                <w:szCs w:val="20"/>
              </w:rPr>
              <w:t>Vědečtí pracovníci nespadající do ostatních kategorií</w:t>
            </w:r>
          </w:p>
        </w:tc>
        <w:tc>
          <w:tcPr>
            <w:tcW w:w="7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556D85" w14:textId="77777777" w:rsidR="00321C0C" w:rsidRPr="00321C0C" w:rsidRDefault="00321C0C" w:rsidP="00321C0C">
            <w:pPr>
              <w:jc w:val="both"/>
              <w:rPr>
                <w:rFonts w:cstheme="minorHAnsi"/>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576640" w14:textId="77777777" w:rsidR="00321C0C" w:rsidRPr="00321C0C" w:rsidRDefault="00321C0C" w:rsidP="00321C0C">
            <w:pPr>
              <w:jc w:val="both"/>
              <w:rPr>
                <w:rFonts w:cstheme="minorHAnsi"/>
                <w:i/>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FA8469" w14:textId="77777777" w:rsidR="00321C0C" w:rsidRPr="00321C0C" w:rsidRDefault="00321C0C" w:rsidP="00321C0C">
            <w:pPr>
              <w:jc w:val="both"/>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B67DD8" w14:textId="77777777" w:rsidR="00321C0C" w:rsidRPr="00321C0C" w:rsidRDefault="00321C0C" w:rsidP="00321C0C">
            <w:pPr>
              <w:jc w:val="both"/>
              <w:rPr>
                <w:rFonts w:cstheme="minorHAnsi"/>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06AF2C" w14:textId="77777777" w:rsidR="00321C0C" w:rsidRPr="00321C0C" w:rsidRDefault="00321C0C" w:rsidP="00321C0C">
            <w:pPr>
              <w:jc w:val="both"/>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7AED72" w14:textId="77777777" w:rsidR="00321C0C" w:rsidRPr="00321C0C" w:rsidRDefault="00321C0C" w:rsidP="00321C0C">
            <w:pPr>
              <w:jc w:val="both"/>
              <w:rPr>
                <w:rFonts w:cstheme="minorHAnsi"/>
                <w:i/>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F40CAD"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70FA8" w14:textId="77777777" w:rsidR="00321C0C" w:rsidRPr="00321C0C" w:rsidRDefault="00321C0C" w:rsidP="00321C0C">
            <w:pPr>
              <w:jc w:val="both"/>
              <w:rPr>
                <w:rFonts w:cstheme="minorHAnsi"/>
                <w: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406C75"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8DA8D4" w14:textId="77777777" w:rsidR="00321C0C" w:rsidRPr="00321C0C" w:rsidRDefault="00321C0C" w:rsidP="00321C0C">
            <w:pPr>
              <w:jc w:val="both"/>
              <w:rPr>
                <w:rFonts w:cstheme="minorHAnsi"/>
                <w: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92D588" w14:textId="77777777" w:rsidR="00321C0C" w:rsidRPr="00321C0C" w:rsidRDefault="00321C0C" w:rsidP="00321C0C">
            <w:pPr>
              <w:jc w:val="both"/>
              <w:rPr>
                <w:rFonts w:cstheme="minorHAnsi"/>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16C0D0" w14:textId="77777777" w:rsidR="00321C0C" w:rsidRPr="00321C0C" w:rsidRDefault="00321C0C" w:rsidP="00321C0C">
            <w:pPr>
              <w:jc w:val="both"/>
              <w:rPr>
                <w:rFonts w:cstheme="minorHAnsi"/>
                <w:sz w:val="20"/>
                <w:szCs w:val="20"/>
              </w:rPr>
            </w:pPr>
          </w:p>
        </w:tc>
      </w:tr>
    </w:tbl>
    <w:p w14:paraId="762D77DA" w14:textId="77777777" w:rsidR="00321C0C" w:rsidRPr="00321C0C" w:rsidRDefault="00321C0C" w:rsidP="00321C0C">
      <w:pPr>
        <w:ind w:right="-375"/>
        <w:contextualSpacing/>
        <w:jc w:val="both"/>
        <w:rPr>
          <w:rFonts w:eastAsia="OpenSymbol" w:cs="Times New Roman"/>
          <w:sz w:val="20"/>
          <w:szCs w:val="20"/>
          <w:lang w:val="cs-CZ"/>
        </w:rPr>
      </w:pPr>
    </w:p>
    <w:p w14:paraId="495BCDAC" w14:textId="77777777" w:rsidR="00321C0C" w:rsidRPr="00321C0C" w:rsidRDefault="00321C0C" w:rsidP="00321C0C">
      <w:pPr>
        <w:ind w:right="-375"/>
        <w:contextualSpacing/>
        <w:jc w:val="both"/>
        <w:rPr>
          <w:rFonts w:eastAsia="OpenSymbol" w:cs="Times New Roman"/>
          <w:sz w:val="20"/>
          <w:szCs w:val="20"/>
          <w:lang w:val="cs-CZ"/>
        </w:rPr>
      </w:pPr>
      <w:r w:rsidRPr="00321C0C">
        <w:rPr>
          <w:rFonts w:eastAsia="OpenSymbol" w:cs="Times New Roman"/>
          <w:sz w:val="20"/>
          <w:szCs w:val="20"/>
          <w:lang w:val="cs-CZ"/>
        </w:rPr>
        <w:lastRenderedPageBreak/>
        <w:t xml:space="preserve">Pozn.: Uvede se celkový počet zaměstnanců/pracovníků </w:t>
      </w:r>
      <w:r w:rsidRPr="00321C0C">
        <w:rPr>
          <w:rFonts w:cs="Times New Roman"/>
          <w:sz w:val="20"/>
          <w:szCs w:val="20"/>
          <w:lang w:val="cs-CZ"/>
        </w:rPr>
        <w:t xml:space="preserve">k 31. 12. daného kalendářního roku </w:t>
      </w:r>
      <w:r w:rsidRPr="00321C0C">
        <w:rPr>
          <w:rFonts w:eastAsia="OpenSymbol" w:cs="Times New Roman"/>
          <w:sz w:val="20"/>
          <w:szCs w:val="20"/>
          <w:lang w:val="cs-CZ"/>
        </w:rPr>
        <w:t>bez ohledu na výši úvazku, ale pouze v pracovním poměru, tj. bez zahrnutí osob pracujících na DPP a DPČ. Nezahrnují se jiné typy smluvních vztahů dle občanského zákoníku, které mají charakter nákupu služeb.</w:t>
      </w:r>
    </w:p>
    <w:p w14:paraId="61EE137A" w14:textId="77777777" w:rsidR="00321C0C" w:rsidRPr="00321C0C" w:rsidRDefault="00321C0C" w:rsidP="00321C0C">
      <w:pPr>
        <w:ind w:right="-375"/>
        <w:contextualSpacing/>
        <w:jc w:val="both"/>
        <w:rPr>
          <w:rFonts w:eastAsia="OpenSymbol" w:cs="Times New Roman"/>
          <w:sz w:val="20"/>
          <w:szCs w:val="20"/>
          <w:lang w:val="cs-CZ"/>
        </w:rPr>
      </w:pPr>
    </w:p>
    <w:p w14:paraId="056E20EA" w14:textId="77777777" w:rsidR="00321C0C" w:rsidRPr="00321C0C" w:rsidRDefault="00321C0C" w:rsidP="00321C0C">
      <w:pPr>
        <w:rPr>
          <w:rFonts w:cs="Times New Roman"/>
          <w:sz w:val="22"/>
          <w:szCs w:val="22"/>
          <w:lang w:val="cs-CZ"/>
        </w:rPr>
      </w:pPr>
      <w:r w:rsidRPr="00321C0C">
        <w:rPr>
          <w:rFonts w:cs="Times New Roman"/>
          <w:sz w:val="22"/>
          <w:szCs w:val="22"/>
          <w:lang w:val="cs-CZ"/>
        </w:rPr>
        <w:t>4.17.3 Pracovníci podílející se na VaVaI vysoké školy, kteří měli v roce 2014 a 2018 cizí státní občanství, vyjma pracovníků se slovenským státním občanstvím (průměrné přepočtené počty)</w:t>
      </w:r>
    </w:p>
    <w:p w14:paraId="6CF17291" w14:textId="77777777" w:rsidR="00321C0C" w:rsidRPr="00321C0C" w:rsidRDefault="00321C0C" w:rsidP="00321C0C">
      <w:pPr>
        <w:ind w:right="-375"/>
        <w:contextualSpacing/>
        <w:jc w:val="both"/>
        <w:rPr>
          <w:rFonts w:cs="Times New Roman"/>
          <w:b/>
          <w:sz w:val="22"/>
          <w:szCs w:val="22"/>
          <w:lang w:val="cs-CZ"/>
        </w:rPr>
      </w:pPr>
    </w:p>
    <w:tbl>
      <w:tblPr>
        <w:tblStyle w:val="Mkatabulky2"/>
        <w:tblW w:w="9847" w:type="dxa"/>
        <w:jc w:val="center"/>
        <w:shd w:val="clear" w:color="auto" w:fill="F2F2F2" w:themeFill="background1" w:themeFillShade="F2"/>
        <w:tblLayout w:type="fixed"/>
        <w:tblLook w:val="04A0" w:firstRow="1" w:lastRow="0" w:firstColumn="1" w:lastColumn="0" w:noHBand="0" w:noVBand="1"/>
      </w:tblPr>
      <w:tblGrid>
        <w:gridCol w:w="5595"/>
        <w:gridCol w:w="1063"/>
        <w:gridCol w:w="1063"/>
        <w:gridCol w:w="1063"/>
        <w:gridCol w:w="1063"/>
      </w:tblGrid>
      <w:tr w:rsidR="00321C0C" w:rsidRPr="00321C0C" w14:paraId="428237EA" w14:textId="77777777" w:rsidTr="0096628E">
        <w:trPr>
          <w:jc w:val="center"/>
        </w:trPr>
        <w:tc>
          <w:tcPr>
            <w:tcW w:w="5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C52269" w14:textId="77777777" w:rsidR="00321C0C" w:rsidRPr="00321C0C" w:rsidRDefault="00321C0C" w:rsidP="00321C0C">
            <w:pPr>
              <w:jc w:val="both"/>
              <w:rPr>
                <w:rFonts w:cstheme="minorHAnsi"/>
                <w:sz w:val="20"/>
                <w:szCs w:val="20"/>
              </w:rPr>
            </w:pPr>
            <w:r w:rsidRPr="00321C0C">
              <w:rPr>
                <w:rFonts w:cstheme="minorHAnsi"/>
                <w:sz w:val="20"/>
                <w:szCs w:val="20"/>
              </w:rPr>
              <w:t>Akademická/odborná pozice</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C5C1D3" w14:textId="77777777" w:rsidR="00321C0C" w:rsidRPr="00321C0C" w:rsidRDefault="00321C0C" w:rsidP="00321C0C">
            <w:pPr>
              <w:jc w:val="both"/>
              <w:rPr>
                <w:rFonts w:cstheme="minorHAnsi"/>
                <w:sz w:val="20"/>
                <w:szCs w:val="20"/>
              </w:rPr>
            </w:pPr>
            <w:r w:rsidRPr="00321C0C">
              <w:rPr>
                <w:rFonts w:cstheme="minorHAnsi"/>
                <w:sz w:val="20"/>
                <w:szCs w:val="20"/>
              </w:rPr>
              <w:t>Celkem 2014</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9B7E3" w14:textId="77777777" w:rsidR="00321C0C" w:rsidRPr="00321C0C" w:rsidRDefault="00321C0C" w:rsidP="00321C0C">
            <w:pPr>
              <w:jc w:val="both"/>
              <w:rPr>
                <w:rFonts w:cstheme="minorHAnsi"/>
                <w:sz w:val="20"/>
                <w:szCs w:val="20"/>
              </w:rPr>
            </w:pPr>
            <w:r w:rsidRPr="00321C0C">
              <w:rPr>
                <w:rFonts w:cstheme="minorHAnsi"/>
                <w:sz w:val="20"/>
                <w:szCs w:val="20"/>
              </w:rPr>
              <w:t>Z toho ženy</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00393C" w14:textId="77777777" w:rsidR="00321C0C" w:rsidRPr="00321C0C" w:rsidRDefault="00321C0C" w:rsidP="00321C0C">
            <w:pPr>
              <w:jc w:val="both"/>
              <w:rPr>
                <w:rFonts w:cstheme="minorHAnsi"/>
                <w:sz w:val="20"/>
                <w:szCs w:val="20"/>
              </w:rPr>
            </w:pPr>
            <w:r w:rsidRPr="00321C0C">
              <w:rPr>
                <w:rFonts w:cstheme="minorHAnsi"/>
                <w:sz w:val="20"/>
                <w:szCs w:val="20"/>
              </w:rPr>
              <w:t>Celkem 2018</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A08E5B" w14:textId="77777777" w:rsidR="00321C0C" w:rsidRPr="00321C0C" w:rsidRDefault="00321C0C" w:rsidP="00321C0C">
            <w:pPr>
              <w:jc w:val="both"/>
              <w:rPr>
                <w:rFonts w:cstheme="minorHAnsi"/>
                <w:sz w:val="20"/>
                <w:szCs w:val="20"/>
              </w:rPr>
            </w:pPr>
            <w:r w:rsidRPr="00321C0C">
              <w:rPr>
                <w:rFonts w:cstheme="minorHAnsi"/>
                <w:sz w:val="20"/>
                <w:szCs w:val="20"/>
              </w:rPr>
              <w:t>Z toho ženy</w:t>
            </w:r>
          </w:p>
        </w:tc>
      </w:tr>
      <w:tr w:rsidR="00321C0C" w:rsidRPr="00321C0C" w14:paraId="2C1739F5" w14:textId="77777777" w:rsidTr="0096628E">
        <w:trPr>
          <w:jc w:val="center"/>
        </w:trPr>
        <w:tc>
          <w:tcPr>
            <w:tcW w:w="5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A7D36B" w14:textId="77777777" w:rsidR="00321C0C" w:rsidRPr="00321C0C" w:rsidRDefault="00321C0C" w:rsidP="00321C0C">
            <w:pPr>
              <w:jc w:val="both"/>
              <w:rPr>
                <w:rFonts w:cstheme="minorHAnsi"/>
                <w:sz w:val="20"/>
                <w:szCs w:val="20"/>
              </w:rPr>
            </w:pPr>
            <w:r w:rsidRPr="00321C0C">
              <w:rPr>
                <w:rFonts w:cstheme="minorHAnsi"/>
                <w:sz w:val="20"/>
                <w:szCs w:val="20"/>
              </w:rPr>
              <w:t>Profesoři</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666751" w14:textId="77777777" w:rsidR="00321C0C" w:rsidRPr="00321C0C" w:rsidRDefault="00321C0C" w:rsidP="00321C0C">
            <w:pPr>
              <w:jc w:val="both"/>
              <w:rPr>
                <w:rFonts w:cstheme="minorHAnsi"/>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967826" w14:textId="77777777" w:rsidR="00321C0C" w:rsidRPr="00321C0C" w:rsidRDefault="00321C0C" w:rsidP="00321C0C">
            <w:pPr>
              <w:jc w:val="both"/>
              <w:rPr>
                <w:rFonts w:cstheme="minorHAnsi"/>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C2F08" w14:textId="77777777" w:rsidR="00321C0C" w:rsidRPr="00321C0C" w:rsidRDefault="00321C0C" w:rsidP="00321C0C">
            <w:pPr>
              <w:jc w:val="both"/>
              <w:rPr>
                <w:rFonts w:cstheme="minorHAnsi"/>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F52EF4" w14:textId="77777777" w:rsidR="00321C0C" w:rsidRPr="00321C0C" w:rsidRDefault="00321C0C" w:rsidP="00321C0C">
            <w:pPr>
              <w:jc w:val="both"/>
              <w:rPr>
                <w:rFonts w:cstheme="minorHAnsi"/>
                <w:sz w:val="20"/>
                <w:szCs w:val="20"/>
              </w:rPr>
            </w:pPr>
          </w:p>
        </w:tc>
      </w:tr>
      <w:tr w:rsidR="00321C0C" w:rsidRPr="00321C0C" w14:paraId="68559BAD" w14:textId="77777777" w:rsidTr="0096628E">
        <w:trPr>
          <w:jc w:val="center"/>
        </w:trPr>
        <w:tc>
          <w:tcPr>
            <w:tcW w:w="5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73476" w14:textId="77777777" w:rsidR="00321C0C" w:rsidRPr="00321C0C" w:rsidRDefault="00321C0C" w:rsidP="00321C0C">
            <w:pPr>
              <w:jc w:val="both"/>
              <w:rPr>
                <w:rFonts w:cstheme="minorHAnsi"/>
                <w:sz w:val="20"/>
                <w:szCs w:val="20"/>
              </w:rPr>
            </w:pPr>
            <w:r w:rsidRPr="00321C0C">
              <w:rPr>
                <w:rFonts w:cstheme="minorHAnsi"/>
                <w:sz w:val="20"/>
                <w:szCs w:val="20"/>
              </w:rPr>
              <w:t>Docenti</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445F26" w14:textId="77777777" w:rsidR="00321C0C" w:rsidRPr="00321C0C" w:rsidRDefault="00321C0C" w:rsidP="00321C0C">
            <w:pPr>
              <w:jc w:val="both"/>
              <w:rPr>
                <w:rFonts w:cstheme="minorHAnsi"/>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02E4D6" w14:textId="77777777" w:rsidR="00321C0C" w:rsidRPr="00321C0C" w:rsidRDefault="00321C0C" w:rsidP="00321C0C">
            <w:pPr>
              <w:jc w:val="both"/>
              <w:rPr>
                <w:rFonts w:cstheme="minorHAnsi"/>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11A9C8" w14:textId="77777777" w:rsidR="00321C0C" w:rsidRPr="00321C0C" w:rsidRDefault="00321C0C" w:rsidP="00321C0C">
            <w:pPr>
              <w:jc w:val="both"/>
              <w:rPr>
                <w:rFonts w:cstheme="minorHAnsi"/>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AB0E70" w14:textId="77777777" w:rsidR="00321C0C" w:rsidRPr="00321C0C" w:rsidRDefault="00321C0C" w:rsidP="00321C0C">
            <w:pPr>
              <w:jc w:val="both"/>
              <w:rPr>
                <w:rFonts w:cstheme="minorHAnsi"/>
                <w:sz w:val="20"/>
                <w:szCs w:val="20"/>
              </w:rPr>
            </w:pPr>
          </w:p>
        </w:tc>
      </w:tr>
      <w:tr w:rsidR="00321C0C" w:rsidRPr="00321C0C" w14:paraId="5D803A42" w14:textId="77777777" w:rsidTr="0096628E">
        <w:trPr>
          <w:jc w:val="center"/>
        </w:trPr>
        <w:tc>
          <w:tcPr>
            <w:tcW w:w="5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423682" w14:textId="77777777" w:rsidR="00321C0C" w:rsidRPr="00321C0C" w:rsidRDefault="00321C0C" w:rsidP="00321C0C">
            <w:pPr>
              <w:jc w:val="both"/>
              <w:rPr>
                <w:rFonts w:cstheme="minorHAnsi"/>
                <w:sz w:val="20"/>
                <w:szCs w:val="20"/>
              </w:rPr>
            </w:pPr>
            <w:r w:rsidRPr="00321C0C">
              <w:rPr>
                <w:rFonts w:cstheme="minorHAnsi"/>
                <w:sz w:val="20"/>
                <w:szCs w:val="20"/>
              </w:rPr>
              <w:t>Odborní asistenti</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31D9F8" w14:textId="77777777" w:rsidR="00321C0C" w:rsidRPr="00321C0C" w:rsidRDefault="00321C0C" w:rsidP="00321C0C">
            <w:pPr>
              <w:jc w:val="both"/>
              <w:rPr>
                <w:rFonts w:cstheme="minorHAnsi"/>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83B02C" w14:textId="77777777" w:rsidR="00321C0C" w:rsidRPr="00321C0C" w:rsidRDefault="00321C0C" w:rsidP="00321C0C">
            <w:pPr>
              <w:jc w:val="both"/>
              <w:rPr>
                <w:rFonts w:cstheme="minorHAnsi"/>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0A60DA" w14:textId="77777777" w:rsidR="00321C0C" w:rsidRPr="00321C0C" w:rsidRDefault="00321C0C" w:rsidP="00321C0C">
            <w:pPr>
              <w:jc w:val="both"/>
              <w:rPr>
                <w:rFonts w:cstheme="minorHAnsi"/>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326602" w14:textId="77777777" w:rsidR="00321C0C" w:rsidRPr="00321C0C" w:rsidRDefault="00321C0C" w:rsidP="00321C0C">
            <w:pPr>
              <w:jc w:val="both"/>
              <w:rPr>
                <w:rFonts w:cstheme="minorHAnsi"/>
                <w:sz w:val="20"/>
                <w:szCs w:val="20"/>
              </w:rPr>
            </w:pPr>
          </w:p>
        </w:tc>
      </w:tr>
      <w:tr w:rsidR="00321C0C" w:rsidRPr="00321C0C" w14:paraId="5D8EE617" w14:textId="77777777" w:rsidTr="0096628E">
        <w:trPr>
          <w:jc w:val="center"/>
        </w:trPr>
        <w:tc>
          <w:tcPr>
            <w:tcW w:w="5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47E685" w14:textId="77777777" w:rsidR="00321C0C" w:rsidRPr="00321C0C" w:rsidRDefault="00321C0C" w:rsidP="00321C0C">
            <w:pPr>
              <w:jc w:val="both"/>
              <w:rPr>
                <w:rFonts w:cstheme="minorHAnsi"/>
                <w:sz w:val="20"/>
                <w:szCs w:val="20"/>
              </w:rPr>
            </w:pPr>
            <w:r w:rsidRPr="00321C0C">
              <w:rPr>
                <w:rFonts w:cstheme="minorHAnsi"/>
                <w:sz w:val="20"/>
                <w:szCs w:val="20"/>
              </w:rPr>
              <w:t>Asistenti</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634F6A" w14:textId="77777777" w:rsidR="00321C0C" w:rsidRPr="00321C0C" w:rsidRDefault="00321C0C" w:rsidP="00321C0C">
            <w:pPr>
              <w:jc w:val="both"/>
              <w:rPr>
                <w:rFonts w:cstheme="minorHAnsi"/>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EA59D7" w14:textId="77777777" w:rsidR="00321C0C" w:rsidRPr="00321C0C" w:rsidRDefault="00321C0C" w:rsidP="00321C0C">
            <w:pPr>
              <w:jc w:val="both"/>
              <w:rPr>
                <w:rFonts w:cstheme="minorHAnsi"/>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85801E" w14:textId="77777777" w:rsidR="00321C0C" w:rsidRPr="00321C0C" w:rsidRDefault="00321C0C" w:rsidP="00321C0C">
            <w:pPr>
              <w:jc w:val="both"/>
              <w:rPr>
                <w:rFonts w:cstheme="minorHAnsi"/>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90F836" w14:textId="77777777" w:rsidR="00321C0C" w:rsidRPr="00321C0C" w:rsidRDefault="00321C0C" w:rsidP="00321C0C">
            <w:pPr>
              <w:jc w:val="both"/>
              <w:rPr>
                <w:rFonts w:cstheme="minorHAnsi"/>
                <w:sz w:val="20"/>
                <w:szCs w:val="20"/>
              </w:rPr>
            </w:pPr>
          </w:p>
        </w:tc>
      </w:tr>
      <w:tr w:rsidR="00321C0C" w:rsidRPr="00321C0C" w14:paraId="3E00BBC5" w14:textId="77777777" w:rsidTr="0096628E">
        <w:trPr>
          <w:jc w:val="center"/>
        </w:trPr>
        <w:tc>
          <w:tcPr>
            <w:tcW w:w="5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1DDC38" w14:textId="77777777" w:rsidR="00321C0C" w:rsidRPr="00321C0C" w:rsidRDefault="00321C0C" w:rsidP="00321C0C">
            <w:pPr>
              <w:jc w:val="both"/>
              <w:rPr>
                <w:rFonts w:cstheme="minorHAnsi"/>
                <w:sz w:val="20"/>
                <w:szCs w:val="20"/>
              </w:rPr>
            </w:pPr>
            <w:r w:rsidRPr="00321C0C">
              <w:rPr>
                <w:rFonts w:cstheme="minorHAnsi"/>
                <w:sz w:val="20"/>
                <w:szCs w:val="20"/>
              </w:rPr>
              <w:t>Vědečtí, výzkumní a vývojoví pracovníci podílející se na pedagogické činnosti</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961E58" w14:textId="77777777" w:rsidR="00321C0C" w:rsidRPr="00321C0C" w:rsidRDefault="00321C0C" w:rsidP="00321C0C">
            <w:pPr>
              <w:jc w:val="both"/>
              <w:rPr>
                <w:rFonts w:cstheme="minorHAnsi"/>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16F32F" w14:textId="77777777" w:rsidR="00321C0C" w:rsidRPr="00321C0C" w:rsidRDefault="00321C0C" w:rsidP="00321C0C">
            <w:pPr>
              <w:jc w:val="both"/>
              <w:rPr>
                <w:rFonts w:cstheme="minorHAnsi"/>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C040D" w14:textId="77777777" w:rsidR="00321C0C" w:rsidRPr="00321C0C" w:rsidRDefault="00321C0C" w:rsidP="00321C0C">
            <w:pPr>
              <w:jc w:val="both"/>
              <w:rPr>
                <w:rFonts w:cstheme="minorHAnsi"/>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B4467C" w14:textId="77777777" w:rsidR="00321C0C" w:rsidRPr="00321C0C" w:rsidRDefault="00321C0C" w:rsidP="00321C0C">
            <w:pPr>
              <w:jc w:val="both"/>
              <w:rPr>
                <w:rFonts w:cstheme="minorHAnsi"/>
                <w:sz w:val="20"/>
                <w:szCs w:val="20"/>
              </w:rPr>
            </w:pPr>
          </w:p>
        </w:tc>
      </w:tr>
      <w:tr w:rsidR="00321C0C" w:rsidRPr="00321C0C" w14:paraId="6E091A12" w14:textId="77777777" w:rsidTr="0096628E">
        <w:trPr>
          <w:jc w:val="center"/>
        </w:trPr>
        <w:tc>
          <w:tcPr>
            <w:tcW w:w="5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303B4D" w14:textId="77777777" w:rsidR="00321C0C" w:rsidRPr="00321C0C" w:rsidRDefault="00321C0C" w:rsidP="00321C0C">
            <w:pPr>
              <w:jc w:val="both"/>
              <w:rPr>
                <w:rFonts w:cstheme="minorHAnsi"/>
                <w:sz w:val="20"/>
                <w:szCs w:val="20"/>
              </w:rPr>
            </w:pPr>
            <w:proofErr w:type="spellStart"/>
            <w:r w:rsidRPr="00321C0C">
              <w:rPr>
                <w:rFonts w:cstheme="minorHAnsi"/>
                <w:sz w:val="20"/>
                <w:szCs w:val="20"/>
              </w:rPr>
              <w:t>Postdoktorandi</w:t>
            </w:r>
            <w:proofErr w:type="spellEnd"/>
            <w:r w:rsidRPr="00321C0C">
              <w:rPr>
                <w:rFonts w:cstheme="minorHAnsi"/>
                <w:sz w:val="20"/>
                <w:szCs w:val="20"/>
              </w:rPr>
              <w:t xml:space="preserve"> („</w:t>
            </w:r>
            <w:proofErr w:type="spellStart"/>
            <w:r w:rsidRPr="00321C0C">
              <w:rPr>
                <w:rFonts w:cstheme="minorHAnsi"/>
                <w:sz w:val="20"/>
                <w:szCs w:val="20"/>
              </w:rPr>
              <w:t>postdok</w:t>
            </w:r>
            <w:proofErr w:type="spellEnd"/>
            <w:r w:rsidRPr="00321C0C">
              <w:rPr>
                <w:rFonts w:cstheme="minorHAnsi"/>
                <w:sz w:val="20"/>
                <w:szCs w:val="20"/>
              </w:rPr>
              <w:t>“)</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5FBE6D" w14:textId="77777777" w:rsidR="00321C0C" w:rsidRPr="00321C0C" w:rsidRDefault="00321C0C" w:rsidP="00321C0C">
            <w:pPr>
              <w:jc w:val="both"/>
              <w:rPr>
                <w:rFonts w:cstheme="minorHAnsi"/>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196A69" w14:textId="77777777" w:rsidR="00321C0C" w:rsidRPr="00321C0C" w:rsidRDefault="00321C0C" w:rsidP="00321C0C">
            <w:pPr>
              <w:jc w:val="both"/>
              <w:rPr>
                <w:rFonts w:cstheme="minorHAnsi"/>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142013" w14:textId="77777777" w:rsidR="00321C0C" w:rsidRPr="00321C0C" w:rsidRDefault="00321C0C" w:rsidP="00321C0C">
            <w:pPr>
              <w:jc w:val="both"/>
              <w:rPr>
                <w:rFonts w:cstheme="minorHAnsi"/>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1F6241" w14:textId="77777777" w:rsidR="00321C0C" w:rsidRPr="00321C0C" w:rsidRDefault="00321C0C" w:rsidP="00321C0C">
            <w:pPr>
              <w:jc w:val="both"/>
              <w:rPr>
                <w:rFonts w:cstheme="minorHAnsi"/>
                <w:sz w:val="20"/>
                <w:szCs w:val="20"/>
              </w:rPr>
            </w:pPr>
          </w:p>
        </w:tc>
      </w:tr>
      <w:tr w:rsidR="00321C0C" w:rsidRPr="00321C0C" w14:paraId="136EEB54" w14:textId="77777777" w:rsidTr="0096628E">
        <w:trPr>
          <w:jc w:val="center"/>
        </w:trPr>
        <w:tc>
          <w:tcPr>
            <w:tcW w:w="5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3A2929" w14:textId="77777777" w:rsidR="00321C0C" w:rsidRPr="00321C0C" w:rsidRDefault="00321C0C" w:rsidP="00321C0C">
            <w:pPr>
              <w:jc w:val="both"/>
              <w:rPr>
                <w:rFonts w:cstheme="minorHAnsi"/>
                <w:sz w:val="20"/>
                <w:szCs w:val="20"/>
              </w:rPr>
            </w:pPr>
            <w:r w:rsidRPr="00321C0C">
              <w:rPr>
                <w:rFonts w:cstheme="minorHAnsi"/>
                <w:sz w:val="20"/>
                <w:szCs w:val="20"/>
              </w:rPr>
              <w:t>Ph.D. studenti</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49F737" w14:textId="77777777" w:rsidR="00321C0C" w:rsidRPr="00321C0C" w:rsidRDefault="00321C0C" w:rsidP="00321C0C">
            <w:pPr>
              <w:jc w:val="both"/>
              <w:rPr>
                <w:rFonts w:cstheme="minorHAnsi"/>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9DD36B" w14:textId="77777777" w:rsidR="00321C0C" w:rsidRPr="00321C0C" w:rsidRDefault="00321C0C" w:rsidP="00321C0C">
            <w:pPr>
              <w:jc w:val="both"/>
              <w:rPr>
                <w:rFonts w:cstheme="minorHAnsi"/>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C492ED" w14:textId="77777777" w:rsidR="00321C0C" w:rsidRPr="00321C0C" w:rsidRDefault="00321C0C" w:rsidP="00321C0C">
            <w:pPr>
              <w:jc w:val="both"/>
              <w:rPr>
                <w:rFonts w:cstheme="minorHAnsi"/>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456CE2" w14:textId="77777777" w:rsidR="00321C0C" w:rsidRPr="00321C0C" w:rsidRDefault="00321C0C" w:rsidP="00321C0C">
            <w:pPr>
              <w:jc w:val="both"/>
              <w:rPr>
                <w:rFonts w:cstheme="minorHAnsi"/>
                <w:sz w:val="20"/>
                <w:szCs w:val="20"/>
              </w:rPr>
            </w:pPr>
          </w:p>
        </w:tc>
      </w:tr>
      <w:tr w:rsidR="00321C0C" w:rsidRPr="00321C0C" w14:paraId="35BF5905" w14:textId="77777777" w:rsidTr="0096628E">
        <w:trPr>
          <w:jc w:val="center"/>
        </w:trPr>
        <w:tc>
          <w:tcPr>
            <w:tcW w:w="5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6A519" w14:textId="77777777" w:rsidR="00321C0C" w:rsidRPr="00321C0C" w:rsidRDefault="00321C0C" w:rsidP="00321C0C">
            <w:pPr>
              <w:jc w:val="both"/>
              <w:rPr>
                <w:rFonts w:cstheme="minorHAnsi"/>
                <w:sz w:val="20"/>
                <w:szCs w:val="20"/>
              </w:rPr>
            </w:pPr>
            <w:r w:rsidRPr="00321C0C">
              <w:rPr>
                <w:rFonts w:cstheme="minorHAnsi"/>
                <w:sz w:val="20"/>
                <w:szCs w:val="20"/>
              </w:rPr>
              <w:t>Ostatní vědečtí, výzkumní a vývojoví pracovníci</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3870AC" w14:textId="77777777" w:rsidR="00321C0C" w:rsidRPr="00321C0C" w:rsidRDefault="00321C0C" w:rsidP="00321C0C">
            <w:pPr>
              <w:jc w:val="both"/>
              <w:rPr>
                <w:rFonts w:cstheme="minorHAnsi"/>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473FFD" w14:textId="77777777" w:rsidR="00321C0C" w:rsidRPr="00321C0C" w:rsidRDefault="00321C0C" w:rsidP="00321C0C">
            <w:pPr>
              <w:jc w:val="both"/>
              <w:rPr>
                <w:rFonts w:cstheme="minorHAnsi"/>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6EAE05" w14:textId="77777777" w:rsidR="00321C0C" w:rsidRPr="00321C0C" w:rsidRDefault="00321C0C" w:rsidP="00321C0C">
            <w:pPr>
              <w:jc w:val="both"/>
              <w:rPr>
                <w:rFonts w:cstheme="minorHAnsi"/>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16B8E0" w14:textId="77777777" w:rsidR="00321C0C" w:rsidRPr="00321C0C" w:rsidRDefault="00321C0C" w:rsidP="00321C0C">
            <w:pPr>
              <w:jc w:val="both"/>
              <w:rPr>
                <w:rFonts w:cstheme="minorHAnsi"/>
                <w:sz w:val="20"/>
                <w:szCs w:val="20"/>
              </w:rPr>
            </w:pPr>
          </w:p>
        </w:tc>
      </w:tr>
      <w:tr w:rsidR="00321C0C" w:rsidRPr="00321C0C" w14:paraId="7A46B58F" w14:textId="77777777" w:rsidTr="0096628E">
        <w:trPr>
          <w:jc w:val="center"/>
        </w:trPr>
        <w:tc>
          <w:tcPr>
            <w:tcW w:w="5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C6E106" w14:textId="77777777" w:rsidR="00321C0C" w:rsidRPr="00321C0C" w:rsidRDefault="00321C0C" w:rsidP="00321C0C">
            <w:pPr>
              <w:jc w:val="both"/>
              <w:rPr>
                <w:rFonts w:cstheme="minorHAnsi"/>
                <w:sz w:val="20"/>
                <w:szCs w:val="20"/>
              </w:rPr>
            </w:pPr>
            <w:r w:rsidRPr="00321C0C">
              <w:rPr>
                <w:rFonts w:cstheme="minorHAnsi"/>
                <w:sz w:val="20"/>
                <w:szCs w:val="20"/>
              </w:rPr>
              <w:t>Vědečtí pracovníci nespadající do ostatních kategorií</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B34C3D" w14:textId="77777777" w:rsidR="00321C0C" w:rsidRPr="00321C0C" w:rsidRDefault="00321C0C" w:rsidP="00321C0C">
            <w:pPr>
              <w:jc w:val="both"/>
              <w:rPr>
                <w:rFonts w:cstheme="minorHAnsi"/>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80AEAF" w14:textId="77777777" w:rsidR="00321C0C" w:rsidRPr="00321C0C" w:rsidRDefault="00321C0C" w:rsidP="00321C0C">
            <w:pPr>
              <w:jc w:val="both"/>
              <w:rPr>
                <w:rFonts w:cstheme="minorHAnsi"/>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BA1FFB" w14:textId="77777777" w:rsidR="00321C0C" w:rsidRPr="00321C0C" w:rsidRDefault="00321C0C" w:rsidP="00321C0C">
            <w:pPr>
              <w:jc w:val="both"/>
              <w:rPr>
                <w:rFonts w:cstheme="minorHAnsi"/>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69A0B3" w14:textId="77777777" w:rsidR="00321C0C" w:rsidRPr="00321C0C" w:rsidRDefault="00321C0C" w:rsidP="00321C0C">
            <w:pPr>
              <w:jc w:val="both"/>
              <w:rPr>
                <w:rFonts w:cstheme="minorHAnsi"/>
                <w:sz w:val="20"/>
                <w:szCs w:val="20"/>
              </w:rPr>
            </w:pPr>
          </w:p>
        </w:tc>
      </w:tr>
      <w:tr w:rsidR="00321C0C" w:rsidRPr="00321C0C" w14:paraId="7AF2D141" w14:textId="77777777" w:rsidTr="0096628E">
        <w:trPr>
          <w:jc w:val="center"/>
        </w:trPr>
        <w:tc>
          <w:tcPr>
            <w:tcW w:w="5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03A8B" w14:textId="77777777" w:rsidR="00321C0C" w:rsidRPr="00321C0C" w:rsidRDefault="00321C0C" w:rsidP="00321C0C">
            <w:pPr>
              <w:jc w:val="both"/>
              <w:rPr>
                <w:rFonts w:cstheme="minorHAnsi"/>
                <w:sz w:val="20"/>
                <w:szCs w:val="20"/>
              </w:rPr>
            </w:pPr>
            <w:r w:rsidRPr="00321C0C">
              <w:rPr>
                <w:rFonts w:cstheme="minorHAnsi"/>
                <w:sz w:val="20"/>
                <w:szCs w:val="20"/>
              </w:rPr>
              <w:t>Celkový počet cizích státních příslušníků</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C2A942" w14:textId="77777777" w:rsidR="00321C0C" w:rsidRPr="00321C0C" w:rsidRDefault="00321C0C" w:rsidP="00321C0C">
            <w:pPr>
              <w:jc w:val="both"/>
              <w:rPr>
                <w:rFonts w:cstheme="minorHAnsi"/>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E41CBF" w14:textId="77777777" w:rsidR="00321C0C" w:rsidRPr="00321C0C" w:rsidRDefault="00321C0C" w:rsidP="00321C0C">
            <w:pPr>
              <w:jc w:val="both"/>
              <w:rPr>
                <w:rFonts w:cstheme="minorHAnsi"/>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2FA813" w14:textId="77777777" w:rsidR="00321C0C" w:rsidRPr="00321C0C" w:rsidRDefault="00321C0C" w:rsidP="00321C0C">
            <w:pPr>
              <w:jc w:val="both"/>
              <w:rPr>
                <w:rFonts w:cstheme="minorHAnsi"/>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4FAED4" w14:textId="77777777" w:rsidR="00321C0C" w:rsidRPr="00321C0C" w:rsidRDefault="00321C0C" w:rsidP="00321C0C">
            <w:pPr>
              <w:jc w:val="both"/>
              <w:rPr>
                <w:rFonts w:cstheme="minorHAnsi"/>
                <w:sz w:val="20"/>
                <w:szCs w:val="20"/>
              </w:rPr>
            </w:pPr>
          </w:p>
        </w:tc>
      </w:tr>
    </w:tbl>
    <w:p w14:paraId="5052AD70" w14:textId="77777777" w:rsidR="00321C0C" w:rsidRPr="00321C0C" w:rsidRDefault="00321C0C" w:rsidP="00321C0C">
      <w:pPr>
        <w:contextualSpacing/>
        <w:jc w:val="both"/>
        <w:rPr>
          <w:rFonts w:cs="Times New Roman"/>
          <w:b/>
          <w:sz w:val="22"/>
          <w:szCs w:val="22"/>
          <w:lang w:val="cs-CZ"/>
        </w:rPr>
      </w:pPr>
    </w:p>
    <w:p w14:paraId="0ED48139" w14:textId="77777777" w:rsidR="00321C0C" w:rsidRPr="00321C0C" w:rsidRDefault="00321C0C" w:rsidP="00321C0C">
      <w:pPr>
        <w:ind w:right="-375"/>
        <w:contextualSpacing/>
        <w:jc w:val="both"/>
        <w:rPr>
          <w:rFonts w:eastAsia="OpenSymbol" w:cs="Times New Roman"/>
          <w:sz w:val="20"/>
          <w:szCs w:val="20"/>
          <w:lang w:val="cs-CZ"/>
        </w:rPr>
      </w:pPr>
      <w:r w:rsidRPr="00321C0C">
        <w:rPr>
          <w:rFonts w:eastAsia="OpenSymbol" w:cs="Times New Roman"/>
          <w:sz w:val="20"/>
          <w:szCs w:val="20"/>
          <w:lang w:val="cs-CZ"/>
        </w:rPr>
        <w:t>Pozn.: Průměrným přepočteným počtem se rozumí podíl celkového počtu skutečně odpracovaných hodin za  sledované období od 1. 1. do 31. 12. všemi pracovníky (vč. DPČ, mimo DPP) a celkového ročního fondu pracovní doby připadajícího na jednoho zaměstnance pracujícího na plnou pracovní dobu.</w:t>
      </w:r>
    </w:p>
    <w:p w14:paraId="096E31E4" w14:textId="77777777" w:rsidR="00321C0C" w:rsidRPr="00321C0C" w:rsidRDefault="00321C0C" w:rsidP="00321C0C">
      <w:pPr>
        <w:contextualSpacing/>
        <w:jc w:val="both"/>
        <w:rPr>
          <w:rFonts w:cs="Times New Roman"/>
          <w:b/>
          <w:sz w:val="22"/>
          <w:szCs w:val="22"/>
          <w:lang w:val="cs-CZ"/>
        </w:rPr>
      </w:pPr>
    </w:p>
    <w:p w14:paraId="637CA48F" w14:textId="77777777" w:rsidR="00321C0C" w:rsidRPr="00321C0C" w:rsidRDefault="00321C0C" w:rsidP="00321C0C">
      <w:pPr>
        <w:contextualSpacing/>
        <w:jc w:val="both"/>
        <w:rPr>
          <w:rFonts w:cs="Times New Roman"/>
          <w:lang w:val="cs-CZ"/>
        </w:rPr>
      </w:pPr>
      <w:r w:rsidRPr="00321C0C">
        <w:rPr>
          <w:rFonts w:cs="Times New Roman"/>
          <w:b/>
          <w:lang w:val="cs-CZ"/>
        </w:rPr>
        <w:t>4.18 Opatření týkající se genderové rovnosti</w:t>
      </w:r>
      <w:r w:rsidRPr="00321C0C">
        <w:rPr>
          <w:rFonts w:cs="Times New Roman"/>
          <w:lang w:val="cs-CZ"/>
        </w:rPr>
        <w:t xml:space="preserve"> </w:t>
      </w:r>
    </w:p>
    <w:p w14:paraId="3FC1ECA6" w14:textId="77777777" w:rsidR="00321C0C" w:rsidRPr="00321C0C" w:rsidRDefault="00321C0C" w:rsidP="00321C0C">
      <w:pPr>
        <w:contextualSpacing/>
        <w:jc w:val="both"/>
        <w:rPr>
          <w:rFonts w:cs="Times New Roman"/>
          <w:sz w:val="20"/>
          <w:szCs w:val="20"/>
          <w:lang w:val="cs-CZ"/>
        </w:rPr>
      </w:pPr>
    </w:p>
    <w:p w14:paraId="0DA068F6" w14:textId="77777777" w:rsidR="00321C0C" w:rsidRPr="00321C0C" w:rsidRDefault="00321C0C" w:rsidP="00321C0C">
      <w:pPr>
        <w:contextualSpacing/>
        <w:jc w:val="both"/>
        <w:rPr>
          <w:rFonts w:cs="Times New Roman"/>
          <w:sz w:val="22"/>
          <w:szCs w:val="22"/>
          <w:lang w:val="cs-CZ"/>
        </w:rPr>
      </w:pPr>
      <w:r w:rsidRPr="00321C0C">
        <w:rPr>
          <w:rFonts w:cs="Times New Roman"/>
          <w:sz w:val="22"/>
          <w:szCs w:val="22"/>
          <w:lang w:val="cs-CZ"/>
        </w:rPr>
        <w:t>4.18.1 Genderová rovnováha ve vedoucích pozicích v roce 2014</w:t>
      </w:r>
    </w:p>
    <w:p w14:paraId="5DE751E0" w14:textId="77777777" w:rsidR="00321C0C" w:rsidRPr="00321C0C" w:rsidRDefault="00321C0C" w:rsidP="00321C0C">
      <w:pPr>
        <w:contextualSpacing/>
        <w:jc w:val="both"/>
        <w:rPr>
          <w:rFonts w:cs="Times New Roman"/>
          <w:sz w:val="22"/>
          <w:szCs w:val="22"/>
          <w:lang w:val="cs-CZ"/>
        </w:rPr>
      </w:pPr>
    </w:p>
    <w:tbl>
      <w:tblPr>
        <w:tblStyle w:val="Mkatabulky2"/>
        <w:tblW w:w="9215" w:type="dxa"/>
        <w:jc w:val="center"/>
        <w:shd w:val="clear" w:color="auto" w:fill="F2F2F2" w:themeFill="background1" w:themeFillShade="F2"/>
        <w:tblLook w:val="04A0" w:firstRow="1" w:lastRow="0" w:firstColumn="1" w:lastColumn="0" w:noHBand="0" w:noVBand="1"/>
      </w:tblPr>
      <w:tblGrid>
        <w:gridCol w:w="6380"/>
        <w:gridCol w:w="945"/>
        <w:gridCol w:w="945"/>
        <w:gridCol w:w="945"/>
      </w:tblGrid>
      <w:tr w:rsidR="00321C0C" w:rsidRPr="00321C0C" w14:paraId="1F7186AD" w14:textId="77777777" w:rsidTr="0096628E">
        <w:trPr>
          <w:jc w:val="center"/>
        </w:trPr>
        <w:tc>
          <w:tcPr>
            <w:tcW w:w="6380" w:type="dxa"/>
            <w:shd w:val="clear" w:color="auto" w:fill="F2F2F2" w:themeFill="background1" w:themeFillShade="F2"/>
            <w:vAlign w:val="center"/>
          </w:tcPr>
          <w:p w14:paraId="0E3CD42C" w14:textId="77777777" w:rsidR="00321C0C" w:rsidRPr="00321C0C" w:rsidRDefault="00321C0C" w:rsidP="00321C0C">
            <w:pPr>
              <w:contextualSpacing/>
              <w:jc w:val="both"/>
              <w:rPr>
                <w:rFonts w:cs="Times New Roman"/>
                <w:sz w:val="20"/>
                <w:szCs w:val="20"/>
              </w:rPr>
            </w:pPr>
            <w:r w:rsidRPr="00321C0C">
              <w:rPr>
                <w:rFonts w:cs="Times New Roman"/>
                <w:sz w:val="20"/>
                <w:szCs w:val="20"/>
              </w:rPr>
              <w:t>Vedoucí pracovníci</w:t>
            </w:r>
          </w:p>
        </w:tc>
        <w:tc>
          <w:tcPr>
            <w:tcW w:w="945" w:type="dxa"/>
            <w:shd w:val="clear" w:color="auto" w:fill="F2F2F2" w:themeFill="background1" w:themeFillShade="F2"/>
            <w:vAlign w:val="center"/>
          </w:tcPr>
          <w:p w14:paraId="4EA44EA3" w14:textId="77777777" w:rsidR="00321C0C" w:rsidRPr="00321C0C" w:rsidRDefault="00321C0C" w:rsidP="00321C0C">
            <w:pPr>
              <w:contextualSpacing/>
              <w:jc w:val="both"/>
              <w:rPr>
                <w:rFonts w:cs="Times New Roman"/>
                <w:sz w:val="20"/>
                <w:szCs w:val="20"/>
              </w:rPr>
            </w:pPr>
            <w:r w:rsidRPr="00321C0C">
              <w:rPr>
                <w:rFonts w:cs="Times New Roman"/>
                <w:sz w:val="20"/>
                <w:szCs w:val="20"/>
              </w:rPr>
              <w:t>Muži</w:t>
            </w:r>
          </w:p>
        </w:tc>
        <w:tc>
          <w:tcPr>
            <w:tcW w:w="945" w:type="dxa"/>
            <w:shd w:val="clear" w:color="auto" w:fill="F2F2F2" w:themeFill="background1" w:themeFillShade="F2"/>
            <w:vAlign w:val="center"/>
          </w:tcPr>
          <w:p w14:paraId="106994F7" w14:textId="77777777" w:rsidR="00321C0C" w:rsidRPr="00321C0C" w:rsidRDefault="00321C0C" w:rsidP="00321C0C">
            <w:pPr>
              <w:contextualSpacing/>
              <w:jc w:val="both"/>
              <w:rPr>
                <w:rFonts w:cs="Times New Roman"/>
                <w:sz w:val="20"/>
                <w:szCs w:val="20"/>
              </w:rPr>
            </w:pPr>
            <w:r w:rsidRPr="00321C0C">
              <w:rPr>
                <w:rFonts w:cs="Times New Roman"/>
                <w:sz w:val="20"/>
                <w:szCs w:val="20"/>
              </w:rPr>
              <w:t>Ženy</w:t>
            </w:r>
          </w:p>
        </w:tc>
        <w:tc>
          <w:tcPr>
            <w:tcW w:w="945" w:type="dxa"/>
            <w:shd w:val="clear" w:color="auto" w:fill="F2F2F2" w:themeFill="background1" w:themeFillShade="F2"/>
          </w:tcPr>
          <w:p w14:paraId="3D8481BA" w14:textId="77777777" w:rsidR="00321C0C" w:rsidRPr="00321C0C" w:rsidRDefault="00321C0C" w:rsidP="00321C0C">
            <w:pPr>
              <w:contextualSpacing/>
              <w:jc w:val="both"/>
              <w:rPr>
                <w:rFonts w:cs="Times New Roman"/>
                <w:sz w:val="20"/>
                <w:szCs w:val="20"/>
              </w:rPr>
            </w:pPr>
            <w:r w:rsidRPr="00321C0C">
              <w:rPr>
                <w:rFonts w:cs="Times New Roman"/>
                <w:sz w:val="20"/>
                <w:szCs w:val="20"/>
              </w:rPr>
              <w:t>Celkem</w:t>
            </w:r>
          </w:p>
        </w:tc>
      </w:tr>
      <w:tr w:rsidR="00321C0C" w:rsidRPr="00321C0C" w14:paraId="64746DDB" w14:textId="77777777" w:rsidTr="0096628E">
        <w:trPr>
          <w:jc w:val="center"/>
        </w:trPr>
        <w:tc>
          <w:tcPr>
            <w:tcW w:w="6380" w:type="dxa"/>
            <w:shd w:val="clear" w:color="auto" w:fill="F2F2F2" w:themeFill="background1" w:themeFillShade="F2"/>
          </w:tcPr>
          <w:p w14:paraId="614866F9" w14:textId="77777777" w:rsidR="00321C0C" w:rsidRPr="00321C0C" w:rsidRDefault="00321C0C" w:rsidP="00321C0C">
            <w:pPr>
              <w:contextualSpacing/>
              <w:jc w:val="both"/>
              <w:rPr>
                <w:rFonts w:cs="Times New Roman"/>
                <w:sz w:val="20"/>
                <w:szCs w:val="20"/>
              </w:rPr>
            </w:pPr>
            <w:r w:rsidRPr="00321C0C">
              <w:rPr>
                <w:rFonts w:cs="Times New Roman"/>
                <w:sz w:val="20"/>
                <w:szCs w:val="20"/>
              </w:rPr>
              <w:t>Rektor</w:t>
            </w:r>
          </w:p>
        </w:tc>
        <w:tc>
          <w:tcPr>
            <w:tcW w:w="945" w:type="dxa"/>
            <w:shd w:val="clear" w:color="auto" w:fill="F2F2F2" w:themeFill="background1" w:themeFillShade="F2"/>
          </w:tcPr>
          <w:p w14:paraId="31A34D47" w14:textId="77777777" w:rsidR="00321C0C" w:rsidRPr="00321C0C" w:rsidRDefault="00321C0C" w:rsidP="00321C0C">
            <w:pPr>
              <w:contextualSpacing/>
              <w:jc w:val="both"/>
              <w:rPr>
                <w:rFonts w:cs="Times New Roman"/>
                <w:b/>
                <w:sz w:val="24"/>
                <w:szCs w:val="24"/>
                <w:u w:val="single"/>
              </w:rPr>
            </w:pPr>
          </w:p>
        </w:tc>
        <w:tc>
          <w:tcPr>
            <w:tcW w:w="945" w:type="dxa"/>
            <w:shd w:val="clear" w:color="auto" w:fill="F2F2F2" w:themeFill="background1" w:themeFillShade="F2"/>
          </w:tcPr>
          <w:p w14:paraId="60D86911" w14:textId="77777777" w:rsidR="00321C0C" w:rsidRPr="00321C0C" w:rsidRDefault="00321C0C" w:rsidP="00321C0C">
            <w:pPr>
              <w:contextualSpacing/>
              <w:jc w:val="both"/>
              <w:rPr>
                <w:rFonts w:cs="Times New Roman"/>
                <w:b/>
                <w:sz w:val="24"/>
                <w:szCs w:val="24"/>
                <w:u w:val="single"/>
              </w:rPr>
            </w:pPr>
          </w:p>
        </w:tc>
        <w:tc>
          <w:tcPr>
            <w:tcW w:w="945" w:type="dxa"/>
            <w:shd w:val="clear" w:color="auto" w:fill="F2F2F2" w:themeFill="background1" w:themeFillShade="F2"/>
          </w:tcPr>
          <w:p w14:paraId="6943ADEE" w14:textId="77777777" w:rsidR="00321C0C" w:rsidRPr="00321C0C" w:rsidRDefault="00321C0C" w:rsidP="00321C0C">
            <w:pPr>
              <w:contextualSpacing/>
              <w:jc w:val="both"/>
              <w:rPr>
                <w:rFonts w:cs="Times New Roman"/>
                <w:b/>
                <w:u w:val="single"/>
              </w:rPr>
            </w:pPr>
          </w:p>
        </w:tc>
      </w:tr>
      <w:tr w:rsidR="00321C0C" w:rsidRPr="00321C0C" w14:paraId="493B837C" w14:textId="77777777" w:rsidTr="0096628E">
        <w:trPr>
          <w:jc w:val="center"/>
        </w:trPr>
        <w:tc>
          <w:tcPr>
            <w:tcW w:w="6380" w:type="dxa"/>
            <w:shd w:val="clear" w:color="auto" w:fill="F2F2F2" w:themeFill="background1" w:themeFillShade="F2"/>
          </w:tcPr>
          <w:p w14:paraId="61A76810" w14:textId="77777777" w:rsidR="00321C0C" w:rsidRPr="00321C0C" w:rsidRDefault="00321C0C" w:rsidP="00321C0C">
            <w:pPr>
              <w:contextualSpacing/>
              <w:jc w:val="both"/>
              <w:rPr>
                <w:rFonts w:cs="Times New Roman"/>
                <w:sz w:val="20"/>
                <w:szCs w:val="20"/>
              </w:rPr>
            </w:pPr>
            <w:r w:rsidRPr="00321C0C">
              <w:rPr>
                <w:rFonts w:cs="Times New Roman"/>
                <w:sz w:val="20"/>
                <w:szCs w:val="20"/>
              </w:rPr>
              <w:t>Prorektor</w:t>
            </w:r>
          </w:p>
        </w:tc>
        <w:tc>
          <w:tcPr>
            <w:tcW w:w="945" w:type="dxa"/>
            <w:shd w:val="clear" w:color="auto" w:fill="F2F2F2" w:themeFill="background1" w:themeFillShade="F2"/>
          </w:tcPr>
          <w:p w14:paraId="6E50112A" w14:textId="77777777" w:rsidR="00321C0C" w:rsidRPr="00321C0C" w:rsidRDefault="00321C0C" w:rsidP="00321C0C">
            <w:pPr>
              <w:contextualSpacing/>
              <w:jc w:val="both"/>
              <w:rPr>
                <w:rFonts w:cs="Times New Roman"/>
                <w:b/>
                <w:sz w:val="24"/>
                <w:szCs w:val="24"/>
                <w:u w:val="single"/>
              </w:rPr>
            </w:pPr>
          </w:p>
        </w:tc>
        <w:tc>
          <w:tcPr>
            <w:tcW w:w="945" w:type="dxa"/>
            <w:shd w:val="clear" w:color="auto" w:fill="F2F2F2" w:themeFill="background1" w:themeFillShade="F2"/>
          </w:tcPr>
          <w:p w14:paraId="10AF72EB" w14:textId="77777777" w:rsidR="00321C0C" w:rsidRPr="00321C0C" w:rsidRDefault="00321C0C" w:rsidP="00321C0C">
            <w:pPr>
              <w:contextualSpacing/>
              <w:jc w:val="both"/>
              <w:rPr>
                <w:rFonts w:cs="Times New Roman"/>
                <w:b/>
                <w:sz w:val="24"/>
                <w:szCs w:val="24"/>
                <w:u w:val="single"/>
              </w:rPr>
            </w:pPr>
          </w:p>
        </w:tc>
        <w:tc>
          <w:tcPr>
            <w:tcW w:w="945" w:type="dxa"/>
            <w:shd w:val="clear" w:color="auto" w:fill="F2F2F2" w:themeFill="background1" w:themeFillShade="F2"/>
          </w:tcPr>
          <w:p w14:paraId="35D8622F" w14:textId="77777777" w:rsidR="00321C0C" w:rsidRPr="00321C0C" w:rsidRDefault="00321C0C" w:rsidP="00321C0C">
            <w:pPr>
              <w:contextualSpacing/>
              <w:jc w:val="both"/>
              <w:rPr>
                <w:rFonts w:cs="Times New Roman"/>
                <w:b/>
                <w:u w:val="single"/>
              </w:rPr>
            </w:pPr>
          </w:p>
        </w:tc>
      </w:tr>
      <w:tr w:rsidR="00321C0C" w:rsidRPr="00321C0C" w14:paraId="480E3CEE" w14:textId="77777777" w:rsidTr="0096628E">
        <w:trPr>
          <w:jc w:val="center"/>
        </w:trPr>
        <w:tc>
          <w:tcPr>
            <w:tcW w:w="6380" w:type="dxa"/>
            <w:shd w:val="clear" w:color="auto" w:fill="F2F2F2" w:themeFill="background1" w:themeFillShade="F2"/>
          </w:tcPr>
          <w:p w14:paraId="0B3000CB" w14:textId="77777777" w:rsidR="00321C0C" w:rsidRPr="00321C0C" w:rsidRDefault="00321C0C" w:rsidP="00321C0C">
            <w:pPr>
              <w:contextualSpacing/>
              <w:jc w:val="both"/>
              <w:rPr>
                <w:rFonts w:cs="Times New Roman"/>
                <w:sz w:val="20"/>
                <w:szCs w:val="20"/>
              </w:rPr>
            </w:pPr>
            <w:r w:rsidRPr="00321C0C">
              <w:rPr>
                <w:rFonts w:cs="Times New Roman"/>
                <w:sz w:val="20"/>
                <w:szCs w:val="20"/>
              </w:rPr>
              <w:t>Akademický senát</w:t>
            </w:r>
          </w:p>
        </w:tc>
        <w:tc>
          <w:tcPr>
            <w:tcW w:w="945" w:type="dxa"/>
            <w:shd w:val="clear" w:color="auto" w:fill="F2F2F2" w:themeFill="background1" w:themeFillShade="F2"/>
          </w:tcPr>
          <w:p w14:paraId="4B9B2FEE" w14:textId="77777777" w:rsidR="00321C0C" w:rsidRPr="00321C0C" w:rsidRDefault="00321C0C" w:rsidP="00321C0C">
            <w:pPr>
              <w:contextualSpacing/>
              <w:jc w:val="both"/>
              <w:rPr>
                <w:rFonts w:cs="Times New Roman"/>
                <w:b/>
                <w:sz w:val="24"/>
                <w:szCs w:val="24"/>
                <w:u w:val="single"/>
              </w:rPr>
            </w:pPr>
          </w:p>
        </w:tc>
        <w:tc>
          <w:tcPr>
            <w:tcW w:w="945" w:type="dxa"/>
            <w:shd w:val="clear" w:color="auto" w:fill="F2F2F2" w:themeFill="background1" w:themeFillShade="F2"/>
          </w:tcPr>
          <w:p w14:paraId="1B8AA28B" w14:textId="77777777" w:rsidR="00321C0C" w:rsidRPr="00321C0C" w:rsidRDefault="00321C0C" w:rsidP="00321C0C">
            <w:pPr>
              <w:contextualSpacing/>
              <w:jc w:val="both"/>
              <w:rPr>
                <w:rFonts w:cs="Times New Roman"/>
                <w:b/>
                <w:sz w:val="24"/>
                <w:szCs w:val="24"/>
                <w:u w:val="single"/>
              </w:rPr>
            </w:pPr>
          </w:p>
        </w:tc>
        <w:tc>
          <w:tcPr>
            <w:tcW w:w="945" w:type="dxa"/>
            <w:shd w:val="clear" w:color="auto" w:fill="F2F2F2" w:themeFill="background1" w:themeFillShade="F2"/>
          </w:tcPr>
          <w:p w14:paraId="308A633F" w14:textId="77777777" w:rsidR="00321C0C" w:rsidRPr="00321C0C" w:rsidRDefault="00321C0C" w:rsidP="00321C0C">
            <w:pPr>
              <w:contextualSpacing/>
              <w:jc w:val="both"/>
              <w:rPr>
                <w:rFonts w:cs="Times New Roman"/>
                <w:b/>
                <w:u w:val="single"/>
              </w:rPr>
            </w:pPr>
          </w:p>
        </w:tc>
      </w:tr>
      <w:tr w:rsidR="00321C0C" w:rsidRPr="00321C0C" w14:paraId="57AEAC43" w14:textId="77777777" w:rsidTr="0096628E">
        <w:trPr>
          <w:jc w:val="center"/>
        </w:trPr>
        <w:tc>
          <w:tcPr>
            <w:tcW w:w="6380" w:type="dxa"/>
            <w:shd w:val="clear" w:color="auto" w:fill="F2F2F2" w:themeFill="background1" w:themeFillShade="F2"/>
          </w:tcPr>
          <w:p w14:paraId="65445684" w14:textId="77777777" w:rsidR="00321C0C" w:rsidRPr="00321C0C" w:rsidRDefault="00321C0C" w:rsidP="00321C0C">
            <w:pPr>
              <w:contextualSpacing/>
              <w:jc w:val="both"/>
              <w:rPr>
                <w:rFonts w:cs="Times New Roman"/>
                <w:sz w:val="20"/>
                <w:szCs w:val="20"/>
              </w:rPr>
            </w:pPr>
            <w:r w:rsidRPr="00321C0C">
              <w:rPr>
                <w:rFonts w:cs="Times New Roman"/>
                <w:sz w:val="20"/>
                <w:szCs w:val="20"/>
              </w:rPr>
              <w:t>Vědecká/umělecká/akademická rada</w:t>
            </w:r>
          </w:p>
        </w:tc>
        <w:tc>
          <w:tcPr>
            <w:tcW w:w="945" w:type="dxa"/>
            <w:shd w:val="clear" w:color="auto" w:fill="F2F2F2" w:themeFill="background1" w:themeFillShade="F2"/>
          </w:tcPr>
          <w:p w14:paraId="09B800EA" w14:textId="77777777" w:rsidR="00321C0C" w:rsidRPr="00321C0C" w:rsidRDefault="00321C0C" w:rsidP="00321C0C">
            <w:pPr>
              <w:contextualSpacing/>
              <w:jc w:val="both"/>
              <w:rPr>
                <w:rFonts w:cs="Times New Roman"/>
                <w:b/>
                <w:sz w:val="24"/>
                <w:szCs w:val="24"/>
                <w:u w:val="single"/>
              </w:rPr>
            </w:pPr>
          </w:p>
        </w:tc>
        <w:tc>
          <w:tcPr>
            <w:tcW w:w="945" w:type="dxa"/>
            <w:shd w:val="clear" w:color="auto" w:fill="F2F2F2" w:themeFill="background1" w:themeFillShade="F2"/>
          </w:tcPr>
          <w:p w14:paraId="7307C741" w14:textId="77777777" w:rsidR="00321C0C" w:rsidRPr="00321C0C" w:rsidRDefault="00321C0C" w:rsidP="00321C0C">
            <w:pPr>
              <w:contextualSpacing/>
              <w:jc w:val="both"/>
              <w:rPr>
                <w:rFonts w:cs="Times New Roman"/>
                <w:b/>
                <w:sz w:val="24"/>
                <w:szCs w:val="24"/>
                <w:u w:val="single"/>
              </w:rPr>
            </w:pPr>
          </w:p>
        </w:tc>
        <w:tc>
          <w:tcPr>
            <w:tcW w:w="945" w:type="dxa"/>
            <w:shd w:val="clear" w:color="auto" w:fill="F2F2F2" w:themeFill="background1" w:themeFillShade="F2"/>
          </w:tcPr>
          <w:p w14:paraId="0C73F5F0" w14:textId="77777777" w:rsidR="00321C0C" w:rsidRPr="00321C0C" w:rsidRDefault="00321C0C" w:rsidP="00321C0C">
            <w:pPr>
              <w:contextualSpacing/>
              <w:jc w:val="both"/>
              <w:rPr>
                <w:rFonts w:cs="Times New Roman"/>
                <w:b/>
                <w:u w:val="single"/>
              </w:rPr>
            </w:pPr>
          </w:p>
        </w:tc>
      </w:tr>
      <w:tr w:rsidR="00321C0C" w:rsidRPr="00321C0C" w14:paraId="6ADFD0A3" w14:textId="77777777" w:rsidTr="0096628E">
        <w:trPr>
          <w:jc w:val="center"/>
        </w:trPr>
        <w:tc>
          <w:tcPr>
            <w:tcW w:w="6380" w:type="dxa"/>
            <w:shd w:val="clear" w:color="auto" w:fill="F2F2F2" w:themeFill="background1" w:themeFillShade="F2"/>
          </w:tcPr>
          <w:p w14:paraId="63136965" w14:textId="77777777" w:rsidR="00321C0C" w:rsidRPr="00321C0C" w:rsidRDefault="00321C0C" w:rsidP="00321C0C">
            <w:pPr>
              <w:contextualSpacing/>
              <w:jc w:val="both"/>
              <w:rPr>
                <w:rFonts w:cs="Times New Roman"/>
                <w:sz w:val="20"/>
                <w:szCs w:val="20"/>
              </w:rPr>
            </w:pPr>
            <w:r w:rsidRPr="00321C0C">
              <w:rPr>
                <w:rFonts w:cs="Times New Roman"/>
                <w:sz w:val="20"/>
                <w:szCs w:val="20"/>
              </w:rPr>
              <w:t>Kvestor</w:t>
            </w:r>
          </w:p>
        </w:tc>
        <w:tc>
          <w:tcPr>
            <w:tcW w:w="945" w:type="dxa"/>
            <w:shd w:val="clear" w:color="auto" w:fill="F2F2F2" w:themeFill="background1" w:themeFillShade="F2"/>
          </w:tcPr>
          <w:p w14:paraId="7ABF2679" w14:textId="77777777" w:rsidR="00321C0C" w:rsidRPr="00321C0C" w:rsidRDefault="00321C0C" w:rsidP="00321C0C">
            <w:pPr>
              <w:contextualSpacing/>
              <w:jc w:val="both"/>
              <w:rPr>
                <w:rFonts w:cs="Times New Roman"/>
                <w:b/>
                <w:sz w:val="24"/>
                <w:szCs w:val="24"/>
                <w:u w:val="single"/>
              </w:rPr>
            </w:pPr>
          </w:p>
        </w:tc>
        <w:tc>
          <w:tcPr>
            <w:tcW w:w="945" w:type="dxa"/>
            <w:shd w:val="clear" w:color="auto" w:fill="F2F2F2" w:themeFill="background1" w:themeFillShade="F2"/>
          </w:tcPr>
          <w:p w14:paraId="1233E78C" w14:textId="77777777" w:rsidR="00321C0C" w:rsidRPr="00321C0C" w:rsidRDefault="00321C0C" w:rsidP="00321C0C">
            <w:pPr>
              <w:contextualSpacing/>
              <w:jc w:val="both"/>
              <w:rPr>
                <w:rFonts w:cs="Times New Roman"/>
                <w:b/>
                <w:sz w:val="24"/>
                <w:szCs w:val="24"/>
                <w:u w:val="single"/>
              </w:rPr>
            </w:pPr>
          </w:p>
        </w:tc>
        <w:tc>
          <w:tcPr>
            <w:tcW w:w="945" w:type="dxa"/>
            <w:shd w:val="clear" w:color="auto" w:fill="F2F2F2" w:themeFill="background1" w:themeFillShade="F2"/>
          </w:tcPr>
          <w:p w14:paraId="6C469570" w14:textId="77777777" w:rsidR="00321C0C" w:rsidRPr="00321C0C" w:rsidRDefault="00321C0C" w:rsidP="00321C0C">
            <w:pPr>
              <w:contextualSpacing/>
              <w:jc w:val="both"/>
              <w:rPr>
                <w:rFonts w:cs="Times New Roman"/>
                <w:b/>
                <w:u w:val="single"/>
              </w:rPr>
            </w:pPr>
          </w:p>
        </w:tc>
      </w:tr>
      <w:tr w:rsidR="00321C0C" w:rsidRPr="00321C0C" w14:paraId="5D52D88D" w14:textId="77777777" w:rsidTr="0096628E">
        <w:trPr>
          <w:jc w:val="center"/>
        </w:trPr>
        <w:tc>
          <w:tcPr>
            <w:tcW w:w="6380" w:type="dxa"/>
            <w:shd w:val="clear" w:color="auto" w:fill="F2F2F2" w:themeFill="background1" w:themeFillShade="F2"/>
          </w:tcPr>
          <w:p w14:paraId="2753ED3C" w14:textId="77777777" w:rsidR="00321C0C" w:rsidRPr="00321C0C" w:rsidRDefault="00321C0C" w:rsidP="00321C0C">
            <w:pPr>
              <w:contextualSpacing/>
              <w:jc w:val="both"/>
              <w:rPr>
                <w:rFonts w:cs="Times New Roman"/>
                <w:sz w:val="20"/>
                <w:szCs w:val="20"/>
              </w:rPr>
            </w:pPr>
            <w:r w:rsidRPr="00321C0C">
              <w:rPr>
                <w:rFonts w:cs="Times New Roman"/>
                <w:sz w:val="20"/>
                <w:szCs w:val="20"/>
              </w:rPr>
              <w:t>Správní rada</w:t>
            </w:r>
          </w:p>
        </w:tc>
        <w:tc>
          <w:tcPr>
            <w:tcW w:w="945" w:type="dxa"/>
            <w:shd w:val="clear" w:color="auto" w:fill="F2F2F2" w:themeFill="background1" w:themeFillShade="F2"/>
          </w:tcPr>
          <w:p w14:paraId="59C0DF8D" w14:textId="77777777" w:rsidR="00321C0C" w:rsidRPr="00321C0C" w:rsidRDefault="00321C0C" w:rsidP="00321C0C">
            <w:pPr>
              <w:contextualSpacing/>
              <w:jc w:val="both"/>
              <w:rPr>
                <w:rFonts w:cs="Times New Roman"/>
                <w:b/>
                <w:sz w:val="24"/>
                <w:szCs w:val="24"/>
                <w:u w:val="single"/>
              </w:rPr>
            </w:pPr>
          </w:p>
        </w:tc>
        <w:tc>
          <w:tcPr>
            <w:tcW w:w="945" w:type="dxa"/>
            <w:shd w:val="clear" w:color="auto" w:fill="F2F2F2" w:themeFill="background1" w:themeFillShade="F2"/>
          </w:tcPr>
          <w:p w14:paraId="574D0C5F" w14:textId="77777777" w:rsidR="00321C0C" w:rsidRPr="00321C0C" w:rsidRDefault="00321C0C" w:rsidP="00321C0C">
            <w:pPr>
              <w:contextualSpacing/>
              <w:jc w:val="both"/>
              <w:rPr>
                <w:rFonts w:cs="Times New Roman"/>
                <w:b/>
                <w:sz w:val="24"/>
                <w:szCs w:val="24"/>
                <w:u w:val="single"/>
              </w:rPr>
            </w:pPr>
          </w:p>
        </w:tc>
        <w:tc>
          <w:tcPr>
            <w:tcW w:w="945" w:type="dxa"/>
            <w:shd w:val="clear" w:color="auto" w:fill="F2F2F2" w:themeFill="background1" w:themeFillShade="F2"/>
          </w:tcPr>
          <w:p w14:paraId="41E084C9" w14:textId="77777777" w:rsidR="00321C0C" w:rsidRPr="00321C0C" w:rsidRDefault="00321C0C" w:rsidP="00321C0C">
            <w:pPr>
              <w:contextualSpacing/>
              <w:jc w:val="both"/>
              <w:rPr>
                <w:rFonts w:cs="Times New Roman"/>
                <w:b/>
                <w:u w:val="single"/>
              </w:rPr>
            </w:pPr>
          </w:p>
        </w:tc>
      </w:tr>
    </w:tbl>
    <w:p w14:paraId="4E4A88A4" w14:textId="77777777" w:rsidR="00321C0C" w:rsidRPr="00321C0C" w:rsidRDefault="00321C0C" w:rsidP="00321C0C">
      <w:pPr>
        <w:jc w:val="both"/>
        <w:rPr>
          <w:b/>
          <w:sz w:val="22"/>
          <w:szCs w:val="22"/>
          <w:lang w:val="cs-CZ"/>
        </w:rPr>
      </w:pPr>
    </w:p>
    <w:p w14:paraId="1C68D93E" w14:textId="77777777" w:rsidR="00321C0C" w:rsidRPr="00321C0C" w:rsidRDefault="00321C0C" w:rsidP="00321C0C">
      <w:pPr>
        <w:ind w:right="-375"/>
        <w:contextualSpacing/>
        <w:jc w:val="both"/>
        <w:rPr>
          <w:rFonts w:eastAsia="OpenSymbol" w:cs="Times New Roman"/>
          <w:sz w:val="20"/>
          <w:szCs w:val="20"/>
          <w:lang w:val="cs-CZ"/>
        </w:rPr>
      </w:pPr>
      <w:r w:rsidRPr="00321C0C">
        <w:rPr>
          <w:rFonts w:eastAsia="OpenSymbol" w:cs="Times New Roman"/>
          <w:sz w:val="20"/>
          <w:szCs w:val="20"/>
          <w:lang w:val="cs-CZ"/>
        </w:rPr>
        <w:t>Pozn.: Pokud jedna osoba v rámci vysoké školy zastává více uvedených pozic, započte se v každé z nich.</w:t>
      </w:r>
    </w:p>
    <w:p w14:paraId="7D62D4F2" w14:textId="77777777" w:rsidR="00321C0C" w:rsidRPr="00321C0C" w:rsidRDefault="00321C0C" w:rsidP="00321C0C">
      <w:pPr>
        <w:contextualSpacing/>
        <w:jc w:val="both"/>
        <w:rPr>
          <w:rFonts w:cs="Times New Roman"/>
          <w:sz w:val="22"/>
          <w:szCs w:val="22"/>
          <w:lang w:val="cs-CZ"/>
        </w:rPr>
      </w:pPr>
    </w:p>
    <w:p w14:paraId="5390354F" w14:textId="77777777" w:rsidR="00321C0C" w:rsidRPr="00321C0C" w:rsidRDefault="00321C0C" w:rsidP="00321C0C">
      <w:pPr>
        <w:contextualSpacing/>
        <w:jc w:val="both"/>
        <w:rPr>
          <w:rFonts w:cs="Times New Roman"/>
          <w:sz w:val="22"/>
          <w:szCs w:val="22"/>
          <w:lang w:val="cs-CZ"/>
        </w:rPr>
      </w:pPr>
      <w:r w:rsidRPr="00321C0C">
        <w:rPr>
          <w:rFonts w:cs="Times New Roman"/>
          <w:sz w:val="22"/>
          <w:szCs w:val="22"/>
          <w:lang w:val="cs-CZ"/>
        </w:rPr>
        <w:t>4.18.2 Genderová rovnováha ve vedoucích pozicích v roce 2018</w:t>
      </w:r>
    </w:p>
    <w:p w14:paraId="5E59F908" w14:textId="77777777" w:rsidR="00321C0C" w:rsidRPr="00321C0C" w:rsidRDefault="00321C0C" w:rsidP="00321C0C">
      <w:pPr>
        <w:contextualSpacing/>
        <w:jc w:val="both"/>
        <w:rPr>
          <w:rFonts w:cs="Times New Roman"/>
          <w:sz w:val="22"/>
          <w:szCs w:val="22"/>
          <w:lang w:val="cs-CZ"/>
        </w:rPr>
      </w:pPr>
    </w:p>
    <w:tbl>
      <w:tblPr>
        <w:tblStyle w:val="Mkatabulky2"/>
        <w:tblW w:w="9215" w:type="dxa"/>
        <w:jc w:val="center"/>
        <w:tblLook w:val="04A0" w:firstRow="1" w:lastRow="0" w:firstColumn="1" w:lastColumn="0" w:noHBand="0" w:noVBand="1"/>
      </w:tblPr>
      <w:tblGrid>
        <w:gridCol w:w="6380"/>
        <w:gridCol w:w="945"/>
        <w:gridCol w:w="945"/>
        <w:gridCol w:w="945"/>
      </w:tblGrid>
      <w:tr w:rsidR="00321C0C" w:rsidRPr="00321C0C" w14:paraId="41C00C68" w14:textId="77777777" w:rsidTr="0096628E">
        <w:trPr>
          <w:jc w:val="center"/>
        </w:trPr>
        <w:tc>
          <w:tcPr>
            <w:tcW w:w="6380" w:type="dxa"/>
            <w:shd w:val="clear" w:color="auto" w:fill="F2F2F2" w:themeFill="background1" w:themeFillShade="F2"/>
            <w:vAlign w:val="center"/>
          </w:tcPr>
          <w:p w14:paraId="3CB37FDF" w14:textId="77777777" w:rsidR="00321C0C" w:rsidRPr="00321C0C" w:rsidRDefault="00321C0C" w:rsidP="00321C0C">
            <w:pPr>
              <w:contextualSpacing/>
              <w:jc w:val="both"/>
              <w:rPr>
                <w:rFonts w:cs="Times New Roman"/>
                <w:sz w:val="20"/>
                <w:szCs w:val="20"/>
              </w:rPr>
            </w:pPr>
            <w:r w:rsidRPr="00321C0C">
              <w:rPr>
                <w:rFonts w:cs="Times New Roman"/>
                <w:sz w:val="20"/>
                <w:szCs w:val="20"/>
              </w:rPr>
              <w:t>Vedoucí pracovníci</w:t>
            </w:r>
          </w:p>
        </w:tc>
        <w:tc>
          <w:tcPr>
            <w:tcW w:w="945" w:type="dxa"/>
            <w:shd w:val="clear" w:color="auto" w:fill="F2F2F2" w:themeFill="background1" w:themeFillShade="F2"/>
            <w:vAlign w:val="center"/>
          </w:tcPr>
          <w:p w14:paraId="4D3D714B" w14:textId="77777777" w:rsidR="00321C0C" w:rsidRPr="00321C0C" w:rsidRDefault="00321C0C" w:rsidP="00321C0C">
            <w:pPr>
              <w:contextualSpacing/>
              <w:jc w:val="both"/>
              <w:rPr>
                <w:rFonts w:cs="Times New Roman"/>
                <w:sz w:val="20"/>
                <w:szCs w:val="20"/>
              </w:rPr>
            </w:pPr>
            <w:r w:rsidRPr="00321C0C">
              <w:rPr>
                <w:rFonts w:cs="Times New Roman"/>
                <w:sz w:val="20"/>
                <w:szCs w:val="20"/>
              </w:rPr>
              <w:t>Muži</w:t>
            </w:r>
          </w:p>
        </w:tc>
        <w:tc>
          <w:tcPr>
            <w:tcW w:w="945" w:type="dxa"/>
            <w:shd w:val="clear" w:color="auto" w:fill="F2F2F2" w:themeFill="background1" w:themeFillShade="F2"/>
            <w:vAlign w:val="center"/>
          </w:tcPr>
          <w:p w14:paraId="49301792" w14:textId="77777777" w:rsidR="00321C0C" w:rsidRPr="00321C0C" w:rsidRDefault="00321C0C" w:rsidP="00321C0C">
            <w:pPr>
              <w:contextualSpacing/>
              <w:jc w:val="both"/>
              <w:rPr>
                <w:rFonts w:cs="Times New Roman"/>
                <w:sz w:val="20"/>
                <w:szCs w:val="20"/>
              </w:rPr>
            </w:pPr>
            <w:r w:rsidRPr="00321C0C">
              <w:rPr>
                <w:rFonts w:cs="Times New Roman"/>
                <w:sz w:val="20"/>
                <w:szCs w:val="20"/>
              </w:rPr>
              <w:t>Ženy</w:t>
            </w:r>
          </w:p>
        </w:tc>
        <w:tc>
          <w:tcPr>
            <w:tcW w:w="945" w:type="dxa"/>
            <w:shd w:val="clear" w:color="auto" w:fill="F2F2F2" w:themeFill="background1" w:themeFillShade="F2"/>
          </w:tcPr>
          <w:p w14:paraId="55052743" w14:textId="77777777" w:rsidR="00321C0C" w:rsidRPr="00321C0C" w:rsidRDefault="00321C0C" w:rsidP="00321C0C">
            <w:pPr>
              <w:contextualSpacing/>
              <w:jc w:val="both"/>
              <w:rPr>
                <w:rFonts w:cs="Times New Roman"/>
                <w:sz w:val="20"/>
                <w:szCs w:val="20"/>
              </w:rPr>
            </w:pPr>
            <w:r w:rsidRPr="00321C0C">
              <w:rPr>
                <w:rFonts w:cs="Times New Roman"/>
                <w:sz w:val="20"/>
                <w:szCs w:val="20"/>
              </w:rPr>
              <w:t>Celkem</w:t>
            </w:r>
          </w:p>
        </w:tc>
      </w:tr>
      <w:tr w:rsidR="00321C0C" w:rsidRPr="00321C0C" w14:paraId="4FCC1F0D" w14:textId="77777777" w:rsidTr="0096628E">
        <w:trPr>
          <w:jc w:val="center"/>
        </w:trPr>
        <w:tc>
          <w:tcPr>
            <w:tcW w:w="6380" w:type="dxa"/>
            <w:shd w:val="clear" w:color="auto" w:fill="F2F2F2" w:themeFill="background1" w:themeFillShade="F2"/>
          </w:tcPr>
          <w:p w14:paraId="7FA8CE2A" w14:textId="77777777" w:rsidR="00321C0C" w:rsidRPr="00321C0C" w:rsidRDefault="00321C0C" w:rsidP="00321C0C">
            <w:pPr>
              <w:contextualSpacing/>
              <w:jc w:val="both"/>
              <w:rPr>
                <w:rFonts w:cs="Times New Roman"/>
                <w:sz w:val="20"/>
                <w:szCs w:val="20"/>
              </w:rPr>
            </w:pPr>
            <w:r w:rsidRPr="00321C0C">
              <w:rPr>
                <w:rFonts w:cs="Times New Roman"/>
                <w:sz w:val="20"/>
                <w:szCs w:val="20"/>
              </w:rPr>
              <w:t>Rektor</w:t>
            </w:r>
          </w:p>
        </w:tc>
        <w:tc>
          <w:tcPr>
            <w:tcW w:w="945" w:type="dxa"/>
            <w:shd w:val="clear" w:color="auto" w:fill="F2F2F2" w:themeFill="background1" w:themeFillShade="F2"/>
          </w:tcPr>
          <w:p w14:paraId="09FA200A" w14:textId="77777777" w:rsidR="00321C0C" w:rsidRPr="00321C0C" w:rsidRDefault="00321C0C" w:rsidP="00321C0C">
            <w:pPr>
              <w:contextualSpacing/>
              <w:jc w:val="both"/>
              <w:rPr>
                <w:rFonts w:cs="Times New Roman"/>
                <w:b/>
                <w:sz w:val="24"/>
                <w:szCs w:val="24"/>
                <w:u w:val="single"/>
              </w:rPr>
            </w:pPr>
          </w:p>
        </w:tc>
        <w:tc>
          <w:tcPr>
            <w:tcW w:w="945" w:type="dxa"/>
            <w:shd w:val="clear" w:color="auto" w:fill="F2F2F2" w:themeFill="background1" w:themeFillShade="F2"/>
          </w:tcPr>
          <w:p w14:paraId="5BABDFFF" w14:textId="77777777" w:rsidR="00321C0C" w:rsidRPr="00321C0C" w:rsidRDefault="00321C0C" w:rsidP="00321C0C">
            <w:pPr>
              <w:contextualSpacing/>
              <w:jc w:val="both"/>
              <w:rPr>
                <w:rFonts w:cs="Times New Roman"/>
                <w:b/>
                <w:sz w:val="24"/>
                <w:szCs w:val="24"/>
                <w:u w:val="single"/>
              </w:rPr>
            </w:pPr>
          </w:p>
        </w:tc>
        <w:tc>
          <w:tcPr>
            <w:tcW w:w="945" w:type="dxa"/>
            <w:shd w:val="clear" w:color="auto" w:fill="F2F2F2" w:themeFill="background1" w:themeFillShade="F2"/>
          </w:tcPr>
          <w:p w14:paraId="6BBD1499" w14:textId="77777777" w:rsidR="00321C0C" w:rsidRPr="00321C0C" w:rsidRDefault="00321C0C" w:rsidP="00321C0C">
            <w:pPr>
              <w:contextualSpacing/>
              <w:jc w:val="both"/>
              <w:rPr>
                <w:rFonts w:cs="Times New Roman"/>
                <w:b/>
                <w:u w:val="single"/>
              </w:rPr>
            </w:pPr>
          </w:p>
        </w:tc>
      </w:tr>
      <w:tr w:rsidR="00321C0C" w:rsidRPr="00321C0C" w14:paraId="645728D8" w14:textId="77777777" w:rsidTr="0096628E">
        <w:trPr>
          <w:jc w:val="center"/>
        </w:trPr>
        <w:tc>
          <w:tcPr>
            <w:tcW w:w="6380" w:type="dxa"/>
            <w:shd w:val="clear" w:color="auto" w:fill="F2F2F2" w:themeFill="background1" w:themeFillShade="F2"/>
          </w:tcPr>
          <w:p w14:paraId="64D01E19" w14:textId="77777777" w:rsidR="00321C0C" w:rsidRPr="00321C0C" w:rsidRDefault="00321C0C" w:rsidP="00321C0C">
            <w:pPr>
              <w:contextualSpacing/>
              <w:jc w:val="both"/>
              <w:rPr>
                <w:rFonts w:cs="Times New Roman"/>
                <w:sz w:val="20"/>
                <w:szCs w:val="20"/>
              </w:rPr>
            </w:pPr>
            <w:r w:rsidRPr="00321C0C">
              <w:rPr>
                <w:rFonts w:cs="Times New Roman"/>
                <w:sz w:val="20"/>
                <w:szCs w:val="20"/>
              </w:rPr>
              <w:t>Prorektor</w:t>
            </w:r>
          </w:p>
        </w:tc>
        <w:tc>
          <w:tcPr>
            <w:tcW w:w="945" w:type="dxa"/>
            <w:shd w:val="clear" w:color="auto" w:fill="F2F2F2" w:themeFill="background1" w:themeFillShade="F2"/>
          </w:tcPr>
          <w:p w14:paraId="1F1F7FE6" w14:textId="77777777" w:rsidR="00321C0C" w:rsidRPr="00321C0C" w:rsidRDefault="00321C0C" w:rsidP="00321C0C">
            <w:pPr>
              <w:contextualSpacing/>
              <w:jc w:val="both"/>
              <w:rPr>
                <w:rFonts w:cs="Times New Roman"/>
                <w:b/>
                <w:sz w:val="24"/>
                <w:szCs w:val="24"/>
                <w:u w:val="single"/>
              </w:rPr>
            </w:pPr>
          </w:p>
        </w:tc>
        <w:tc>
          <w:tcPr>
            <w:tcW w:w="945" w:type="dxa"/>
            <w:shd w:val="clear" w:color="auto" w:fill="F2F2F2" w:themeFill="background1" w:themeFillShade="F2"/>
          </w:tcPr>
          <w:p w14:paraId="167A53BA" w14:textId="77777777" w:rsidR="00321C0C" w:rsidRPr="00321C0C" w:rsidRDefault="00321C0C" w:rsidP="00321C0C">
            <w:pPr>
              <w:contextualSpacing/>
              <w:jc w:val="both"/>
              <w:rPr>
                <w:rFonts w:cs="Times New Roman"/>
                <w:b/>
                <w:sz w:val="24"/>
                <w:szCs w:val="24"/>
                <w:u w:val="single"/>
              </w:rPr>
            </w:pPr>
          </w:p>
        </w:tc>
        <w:tc>
          <w:tcPr>
            <w:tcW w:w="945" w:type="dxa"/>
            <w:shd w:val="clear" w:color="auto" w:fill="F2F2F2" w:themeFill="background1" w:themeFillShade="F2"/>
          </w:tcPr>
          <w:p w14:paraId="6DEAD0BF" w14:textId="77777777" w:rsidR="00321C0C" w:rsidRPr="00321C0C" w:rsidRDefault="00321C0C" w:rsidP="00321C0C">
            <w:pPr>
              <w:contextualSpacing/>
              <w:jc w:val="both"/>
              <w:rPr>
                <w:rFonts w:cs="Times New Roman"/>
                <w:b/>
                <w:u w:val="single"/>
              </w:rPr>
            </w:pPr>
          </w:p>
        </w:tc>
      </w:tr>
      <w:tr w:rsidR="00321C0C" w:rsidRPr="00321C0C" w14:paraId="0B5539BE" w14:textId="77777777" w:rsidTr="0096628E">
        <w:trPr>
          <w:jc w:val="center"/>
        </w:trPr>
        <w:tc>
          <w:tcPr>
            <w:tcW w:w="6380" w:type="dxa"/>
            <w:shd w:val="clear" w:color="auto" w:fill="F2F2F2" w:themeFill="background1" w:themeFillShade="F2"/>
          </w:tcPr>
          <w:p w14:paraId="7EC6D13D" w14:textId="77777777" w:rsidR="00321C0C" w:rsidRPr="00321C0C" w:rsidRDefault="00321C0C" w:rsidP="00321C0C">
            <w:pPr>
              <w:contextualSpacing/>
              <w:jc w:val="both"/>
              <w:rPr>
                <w:rFonts w:cs="Times New Roman"/>
                <w:sz w:val="20"/>
                <w:szCs w:val="20"/>
              </w:rPr>
            </w:pPr>
            <w:r w:rsidRPr="00321C0C">
              <w:rPr>
                <w:rFonts w:cs="Times New Roman"/>
                <w:sz w:val="20"/>
                <w:szCs w:val="20"/>
              </w:rPr>
              <w:t>Akademický senát</w:t>
            </w:r>
          </w:p>
        </w:tc>
        <w:tc>
          <w:tcPr>
            <w:tcW w:w="945" w:type="dxa"/>
            <w:shd w:val="clear" w:color="auto" w:fill="F2F2F2" w:themeFill="background1" w:themeFillShade="F2"/>
          </w:tcPr>
          <w:p w14:paraId="2C560B25" w14:textId="77777777" w:rsidR="00321C0C" w:rsidRPr="00321C0C" w:rsidRDefault="00321C0C" w:rsidP="00321C0C">
            <w:pPr>
              <w:contextualSpacing/>
              <w:jc w:val="both"/>
              <w:rPr>
                <w:rFonts w:cs="Times New Roman"/>
                <w:b/>
                <w:sz w:val="24"/>
                <w:szCs w:val="24"/>
                <w:u w:val="single"/>
              </w:rPr>
            </w:pPr>
          </w:p>
        </w:tc>
        <w:tc>
          <w:tcPr>
            <w:tcW w:w="945" w:type="dxa"/>
            <w:shd w:val="clear" w:color="auto" w:fill="F2F2F2" w:themeFill="background1" w:themeFillShade="F2"/>
          </w:tcPr>
          <w:p w14:paraId="7BF65930" w14:textId="77777777" w:rsidR="00321C0C" w:rsidRPr="00321C0C" w:rsidRDefault="00321C0C" w:rsidP="00321C0C">
            <w:pPr>
              <w:contextualSpacing/>
              <w:jc w:val="both"/>
              <w:rPr>
                <w:rFonts w:cs="Times New Roman"/>
                <w:b/>
                <w:sz w:val="24"/>
                <w:szCs w:val="24"/>
                <w:u w:val="single"/>
              </w:rPr>
            </w:pPr>
          </w:p>
        </w:tc>
        <w:tc>
          <w:tcPr>
            <w:tcW w:w="945" w:type="dxa"/>
            <w:shd w:val="clear" w:color="auto" w:fill="F2F2F2" w:themeFill="background1" w:themeFillShade="F2"/>
          </w:tcPr>
          <w:p w14:paraId="34C882F8" w14:textId="77777777" w:rsidR="00321C0C" w:rsidRPr="00321C0C" w:rsidRDefault="00321C0C" w:rsidP="00321C0C">
            <w:pPr>
              <w:contextualSpacing/>
              <w:jc w:val="both"/>
              <w:rPr>
                <w:rFonts w:cs="Times New Roman"/>
                <w:b/>
                <w:u w:val="single"/>
              </w:rPr>
            </w:pPr>
          </w:p>
        </w:tc>
      </w:tr>
      <w:tr w:rsidR="00321C0C" w:rsidRPr="00321C0C" w14:paraId="65D52C81" w14:textId="77777777" w:rsidTr="0096628E">
        <w:trPr>
          <w:jc w:val="center"/>
        </w:trPr>
        <w:tc>
          <w:tcPr>
            <w:tcW w:w="6380" w:type="dxa"/>
            <w:shd w:val="clear" w:color="auto" w:fill="F2F2F2" w:themeFill="background1" w:themeFillShade="F2"/>
          </w:tcPr>
          <w:p w14:paraId="5F94D2BD" w14:textId="77777777" w:rsidR="00321C0C" w:rsidRPr="00321C0C" w:rsidRDefault="00321C0C" w:rsidP="00321C0C">
            <w:pPr>
              <w:contextualSpacing/>
              <w:jc w:val="both"/>
              <w:rPr>
                <w:rFonts w:cs="Times New Roman"/>
                <w:sz w:val="20"/>
                <w:szCs w:val="20"/>
              </w:rPr>
            </w:pPr>
            <w:r w:rsidRPr="00321C0C">
              <w:rPr>
                <w:rFonts w:cs="Times New Roman"/>
                <w:sz w:val="20"/>
                <w:szCs w:val="20"/>
              </w:rPr>
              <w:t>Vědecká/umělecká/akademická rada</w:t>
            </w:r>
          </w:p>
        </w:tc>
        <w:tc>
          <w:tcPr>
            <w:tcW w:w="945" w:type="dxa"/>
            <w:shd w:val="clear" w:color="auto" w:fill="F2F2F2" w:themeFill="background1" w:themeFillShade="F2"/>
          </w:tcPr>
          <w:p w14:paraId="6B6576A6" w14:textId="77777777" w:rsidR="00321C0C" w:rsidRPr="00321C0C" w:rsidRDefault="00321C0C" w:rsidP="00321C0C">
            <w:pPr>
              <w:contextualSpacing/>
              <w:jc w:val="both"/>
              <w:rPr>
                <w:rFonts w:cs="Times New Roman"/>
                <w:b/>
                <w:sz w:val="24"/>
                <w:szCs w:val="24"/>
                <w:u w:val="single"/>
              </w:rPr>
            </w:pPr>
          </w:p>
        </w:tc>
        <w:tc>
          <w:tcPr>
            <w:tcW w:w="945" w:type="dxa"/>
            <w:shd w:val="clear" w:color="auto" w:fill="F2F2F2" w:themeFill="background1" w:themeFillShade="F2"/>
          </w:tcPr>
          <w:p w14:paraId="2E859DEA" w14:textId="77777777" w:rsidR="00321C0C" w:rsidRPr="00321C0C" w:rsidRDefault="00321C0C" w:rsidP="00321C0C">
            <w:pPr>
              <w:contextualSpacing/>
              <w:jc w:val="both"/>
              <w:rPr>
                <w:rFonts w:cs="Times New Roman"/>
                <w:b/>
                <w:sz w:val="24"/>
                <w:szCs w:val="24"/>
                <w:u w:val="single"/>
              </w:rPr>
            </w:pPr>
          </w:p>
        </w:tc>
        <w:tc>
          <w:tcPr>
            <w:tcW w:w="945" w:type="dxa"/>
            <w:shd w:val="clear" w:color="auto" w:fill="F2F2F2" w:themeFill="background1" w:themeFillShade="F2"/>
          </w:tcPr>
          <w:p w14:paraId="5707EB27" w14:textId="77777777" w:rsidR="00321C0C" w:rsidRPr="00321C0C" w:rsidRDefault="00321C0C" w:rsidP="00321C0C">
            <w:pPr>
              <w:contextualSpacing/>
              <w:jc w:val="both"/>
              <w:rPr>
                <w:rFonts w:cs="Times New Roman"/>
                <w:b/>
                <w:u w:val="single"/>
              </w:rPr>
            </w:pPr>
          </w:p>
        </w:tc>
      </w:tr>
      <w:tr w:rsidR="00321C0C" w:rsidRPr="00321C0C" w14:paraId="78101684" w14:textId="77777777" w:rsidTr="0096628E">
        <w:trPr>
          <w:jc w:val="center"/>
        </w:trPr>
        <w:tc>
          <w:tcPr>
            <w:tcW w:w="6380" w:type="dxa"/>
            <w:shd w:val="clear" w:color="auto" w:fill="F2F2F2" w:themeFill="background1" w:themeFillShade="F2"/>
          </w:tcPr>
          <w:p w14:paraId="3E193BF0" w14:textId="77777777" w:rsidR="00321C0C" w:rsidRPr="00321C0C" w:rsidRDefault="00321C0C" w:rsidP="00321C0C">
            <w:pPr>
              <w:contextualSpacing/>
              <w:jc w:val="both"/>
              <w:rPr>
                <w:rFonts w:cs="Times New Roman"/>
                <w:sz w:val="20"/>
                <w:szCs w:val="20"/>
              </w:rPr>
            </w:pPr>
            <w:r w:rsidRPr="00321C0C">
              <w:rPr>
                <w:rFonts w:cs="Times New Roman"/>
                <w:sz w:val="20"/>
                <w:szCs w:val="20"/>
              </w:rPr>
              <w:t>Kvestor</w:t>
            </w:r>
          </w:p>
        </w:tc>
        <w:tc>
          <w:tcPr>
            <w:tcW w:w="945" w:type="dxa"/>
            <w:shd w:val="clear" w:color="auto" w:fill="F2F2F2" w:themeFill="background1" w:themeFillShade="F2"/>
          </w:tcPr>
          <w:p w14:paraId="691D2F51" w14:textId="77777777" w:rsidR="00321C0C" w:rsidRPr="00321C0C" w:rsidRDefault="00321C0C" w:rsidP="00321C0C">
            <w:pPr>
              <w:contextualSpacing/>
              <w:jc w:val="both"/>
              <w:rPr>
                <w:rFonts w:cs="Times New Roman"/>
                <w:b/>
                <w:sz w:val="24"/>
                <w:szCs w:val="24"/>
                <w:u w:val="single"/>
              </w:rPr>
            </w:pPr>
          </w:p>
        </w:tc>
        <w:tc>
          <w:tcPr>
            <w:tcW w:w="945" w:type="dxa"/>
            <w:shd w:val="clear" w:color="auto" w:fill="F2F2F2" w:themeFill="background1" w:themeFillShade="F2"/>
          </w:tcPr>
          <w:p w14:paraId="1FAD1B0F" w14:textId="77777777" w:rsidR="00321C0C" w:rsidRPr="00321C0C" w:rsidRDefault="00321C0C" w:rsidP="00321C0C">
            <w:pPr>
              <w:contextualSpacing/>
              <w:jc w:val="both"/>
              <w:rPr>
                <w:rFonts w:cs="Times New Roman"/>
                <w:b/>
                <w:sz w:val="24"/>
                <w:szCs w:val="24"/>
                <w:u w:val="single"/>
              </w:rPr>
            </w:pPr>
          </w:p>
        </w:tc>
        <w:tc>
          <w:tcPr>
            <w:tcW w:w="945" w:type="dxa"/>
            <w:shd w:val="clear" w:color="auto" w:fill="F2F2F2" w:themeFill="background1" w:themeFillShade="F2"/>
          </w:tcPr>
          <w:p w14:paraId="4EF3BFC0" w14:textId="77777777" w:rsidR="00321C0C" w:rsidRPr="00321C0C" w:rsidRDefault="00321C0C" w:rsidP="00321C0C">
            <w:pPr>
              <w:contextualSpacing/>
              <w:jc w:val="both"/>
              <w:rPr>
                <w:rFonts w:cs="Times New Roman"/>
                <w:b/>
                <w:u w:val="single"/>
              </w:rPr>
            </w:pPr>
          </w:p>
        </w:tc>
      </w:tr>
      <w:tr w:rsidR="00321C0C" w:rsidRPr="00321C0C" w14:paraId="19F8C3EA" w14:textId="77777777" w:rsidTr="0096628E">
        <w:trPr>
          <w:jc w:val="center"/>
        </w:trPr>
        <w:tc>
          <w:tcPr>
            <w:tcW w:w="6380" w:type="dxa"/>
            <w:shd w:val="clear" w:color="auto" w:fill="F2F2F2" w:themeFill="background1" w:themeFillShade="F2"/>
          </w:tcPr>
          <w:p w14:paraId="1C3CCA21" w14:textId="77777777" w:rsidR="00321C0C" w:rsidRPr="00321C0C" w:rsidRDefault="00321C0C" w:rsidP="00321C0C">
            <w:pPr>
              <w:contextualSpacing/>
              <w:jc w:val="both"/>
              <w:rPr>
                <w:rFonts w:cs="Times New Roman"/>
                <w:sz w:val="20"/>
                <w:szCs w:val="20"/>
              </w:rPr>
            </w:pPr>
            <w:r w:rsidRPr="00321C0C">
              <w:rPr>
                <w:rFonts w:cs="Times New Roman"/>
                <w:sz w:val="20"/>
                <w:szCs w:val="20"/>
              </w:rPr>
              <w:t>Správní rada</w:t>
            </w:r>
          </w:p>
        </w:tc>
        <w:tc>
          <w:tcPr>
            <w:tcW w:w="945" w:type="dxa"/>
            <w:shd w:val="clear" w:color="auto" w:fill="F2F2F2" w:themeFill="background1" w:themeFillShade="F2"/>
          </w:tcPr>
          <w:p w14:paraId="63231759" w14:textId="77777777" w:rsidR="00321C0C" w:rsidRPr="00321C0C" w:rsidRDefault="00321C0C" w:rsidP="00321C0C">
            <w:pPr>
              <w:contextualSpacing/>
              <w:jc w:val="both"/>
              <w:rPr>
                <w:rFonts w:cs="Times New Roman"/>
                <w:b/>
                <w:sz w:val="24"/>
                <w:szCs w:val="24"/>
                <w:u w:val="single"/>
              </w:rPr>
            </w:pPr>
          </w:p>
        </w:tc>
        <w:tc>
          <w:tcPr>
            <w:tcW w:w="945" w:type="dxa"/>
            <w:shd w:val="clear" w:color="auto" w:fill="F2F2F2" w:themeFill="background1" w:themeFillShade="F2"/>
          </w:tcPr>
          <w:p w14:paraId="5443967C" w14:textId="77777777" w:rsidR="00321C0C" w:rsidRPr="00321C0C" w:rsidRDefault="00321C0C" w:rsidP="00321C0C">
            <w:pPr>
              <w:contextualSpacing/>
              <w:jc w:val="both"/>
              <w:rPr>
                <w:rFonts w:cs="Times New Roman"/>
                <w:b/>
                <w:sz w:val="24"/>
                <w:szCs w:val="24"/>
                <w:u w:val="single"/>
              </w:rPr>
            </w:pPr>
          </w:p>
        </w:tc>
        <w:tc>
          <w:tcPr>
            <w:tcW w:w="945" w:type="dxa"/>
            <w:shd w:val="clear" w:color="auto" w:fill="F2F2F2" w:themeFill="background1" w:themeFillShade="F2"/>
          </w:tcPr>
          <w:p w14:paraId="3FF0F521" w14:textId="77777777" w:rsidR="00321C0C" w:rsidRPr="00321C0C" w:rsidRDefault="00321C0C" w:rsidP="00321C0C">
            <w:pPr>
              <w:contextualSpacing/>
              <w:jc w:val="both"/>
              <w:rPr>
                <w:rFonts w:cs="Times New Roman"/>
                <w:b/>
                <w:u w:val="single"/>
              </w:rPr>
            </w:pPr>
          </w:p>
        </w:tc>
      </w:tr>
    </w:tbl>
    <w:p w14:paraId="7780A213" w14:textId="77777777" w:rsidR="00321C0C" w:rsidRPr="00321C0C" w:rsidRDefault="00321C0C" w:rsidP="00321C0C">
      <w:pPr>
        <w:jc w:val="both"/>
        <w:rPr>
          <w:b/>
          <w:sz w:val="22"/>
          <w:szCs w:val="22"/>
          <w:lang w:val="cs-CZ"/>
        </w:rPr>
      </w:pPr>
    </w:p>
    <w:p w14:paraId="1CD6AA57" w14:textId="77777777" w:rsidR="00321C0C" w:rsidRPr="00321C0C" w:rsidRDefault="00321C0C" w:rsidP="00321C0C">
      <w:pPr>
        <w:ind w:right="-375"/>
        <w:contextualSpacing/>
        <w:jc w:val="both"/>
        <w:rPr>
          <w:rFonts w:eastAsia="OpenSymbol" w:cs="Times New Roman"/>
          <w:sz w:val="20"/>
          <w:szCs w:val="20"/>
          <w:lang w:val="cs-CZ"/>
        </w:rPr>
      </w:pPr>
      <w:r w:rsidRPr="00321C0C">
        <w:rPr>
          <w:rFonts w:eastAsia="OpenSymbol" w:cs="Times New Roman"/>
          <w:sz w:val="20"/>
          <w:szCs w:val="20"/>
          <w:lang w:val="cs-CZ"/>
        </w:rPr>
        <w:t>Pozn.: Pokud jedna osoba v rámci vysoké školy zastává více uvedených pozic, započte se v každé z nich.</w:t>
      </w:r>
    </w:p>
    <w:p w14:paraId="472EAE61" w14:textId="77777777" w:rsidR="00321C0C" w:rsidRDefault="00321C0C" w:rsidP="00321C0C">
      <w:pPr>
        <w:ind w:right="-375"/>
        <w:contextualSpacing/>
        <w:jc w:val="both"/>
        <w:rPr>
          <w:rFonts w:eastAsia="OpenSymbol" w:cs="Times New Roman"/>
          <w:b/>
          <w:sz w:val="22"/>
          <w:szCs w:val="22"/>
          <w:lang w:val="cs-CZ"/>
        </w:rPr>
      </w:pPr>
    </w:p>
    <w:p w14:paraId="725193C2" w14:textId="77777777" w:rsidR="00321C0C" w:rsidRPr="00321C0C" w:rsidRDefault="00321C0C" w:rsidP="00321C0C">
      <w:pPr>
        <w:ind w:right="-375"/>
        <w:contextualSpacing/>
        <w:jc w:val="both"/>
        <w:rPr>
          <w:rFonts w:eastAsia="OpenSymbol" w:cs="Times New Roman"/>
          <w:b/>
          <w:lang w:val="cs-CZ"/>
        </w:rPr>
      </w:pPr>
      <w:r w:rsidRPr="00321C0C">
        <w:rPr>
          <w:rFonts w:eastAsia="OpenSymbol" w:cs="Times New Roman"/>
          <w:b/>
          <w:lang w:val="cs-CZ"/>
        </w:rPr>
        <w:t>4.19 Struktura finančních zdrojů VaVaI</w:t>
      </w:r>
    </w:p>
    <w:p w14:paraId="3E9E769B" w14:textId="77777777" w:rsidR="00321C0C" w:rsidRPr="00321C0C" w:rsidRDefault="00321C0C" w:rsidP="00321C0C">
      <w:pPr>
        <w:jc w:val="both"/>
        <w:rPr>
          <w:b/>
          <w:sz w:val="22"/>
          <w:szCs w:val="22"/>
          <w:lang w:val="cs-CZ"/>
        </w:rPr>
      </w:pPr>
    </w:p>
    <w:p w14:paraId="6038FF55" w14:textId="77777777" w:rsidR="00321C0C" w:rsidRPr="00321C0C" w:rsidRDefault="00321C0C" w:rsidP="00321C0C">
      <w:pPr>
        <w:jc w:val="both"/>
        <w:rPr>
          <w:sz w:val="22"/>
          <w:szCs w:val="22"/>
          <w:lang w:val="cs-CZ"/>
        </w:rPr>
      </w:pPr>
      <w:r w:rsidRPr="00321C0C">
        <w:rPr>
          <w:sz w:val="22"/>
          <w:szCs w:val="22"/>
          <w:lang w:val="cs-CZ"/>
        </w:rPr>
        <w:t>4.19.1 Podíl (v %) z celkových nákladů/výdajů dle druhu VaVaI hrazených z veřejných i neveřejných zdrojů</w:t>
      </w:r>
    </w:p>
    <w:p w14:paraId="05A856B8" w14:textId="77777777" w:rsidR="00321C0C" w:rsidRPr="00321C0C" w:rsidRDefault="00321C0C" w:rsidP="00321C0C">
      <w:pPr>
        <w:jc w:val="both"/>
        <w:rPr>
          <w:b/>
          <w:sz w:val="22"/>
          <w:szCs w:val="22"/>
          <w:lang w:val="cs-CZ"/>
        </w:rPr>
      </w:pPr>
    </w:p>
    <w:tbl>
      <w:tblPr>
        <w:tblStyle w:val="Mkatabulky2"/>
        <w:tblW w:w="9197" w:type="dxa"/>
        <w:shd w:val="clear" w:color="auto" w:fill="F2F2F2" w:themeFill="background1" w:themeFillShade="F2"/>
        <w:tblLayout w:type="fixed"/>
        <w:tblLook w:val="04A0" w:firstRow="1" w:lastRow="0" w:firstColumn="1" w:lastColumn="0" w:noHBand="0" w:noVBand="1"/>
      </w:tblPr>
      <w:tblGrid>
        <w:gridCol w:w="2084"/>
        <w:gridCol w:w="1060"/>
        <w:gridCol w:w="1060"/>
        <w:gridCol w:w="1061"/>
        <w:gridCol w:w="1060"/>
        <w:gridCol w:w="1061"/>
        <w:gridCol w:w="1811"/>
      </w:tblGrid>
      <w:tr w:rsidR="00321C0C" w:rsidRPr="00321C0C" w14:paraId="1AF1B4E8" w14:textId="77777777" w:rsidTr="0096628E">
        <w:tc>
          <w:tcPr>
            <w:tcW w:w="2084" w:type="dxa"/>
            <w:shd w:val="clear" w:color="auto" w:fill="F2F2F2" w:themeFill="background1" w:themeFillShade="F2"/>
          </w:tcPr>
          <w:p w14:paraId="26138778" w14:textId="77777777" w:rsidR="00321C0C" w:rsidRPr="00321C0C" w:rsidRDefault="00321C0C" w:rsidP="00321C0C">
            <w:pPr>
              <w:jc w:val="both"/>
              <w:rPr>
                <w:rFonts w:cs="Times New Roman"/>
                <w:sz w:val="20"/>
                <w:szCs w:val="20"/>
              </w:rPr>
            </w:pPr>
          </w:p>
        </w:tc>
        <w:tc>
          <w:tcPr>
            <w:tcW w:w="1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0CA07" w14:textId="77777777" w:rsidR="00321C0C" w:rsidRPr="00321C0C" w:rsidRDefault="00321C0C" w:rsidP="00321C0C">
            <w:pPr>
              <w:jc w:val="both"/>
              <w:rPr>
                <w:rFonts w:cs="Times New Roman"/>
                <w:sz w:val="20"/>
                <w:szCs w:val="20"/>
              </w:rPr>
            </w:pPr>
            <w:r w:rsidRPr="00321C0C">
              <w:rPr>
                <w:rFonts w:cs="Times New Roman"/>
                <w:sz w:val="20"/>
                <w:szCs w:val="20"/>
              </w:rPr>
              <w:t>2014</w:t>
            </w:r>
          </w:p>
        </w:tc>
        <w:tc>
          <w:tcPr>
            <w:tcW w:w="1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935AAB" w14:textId="77777777" w:rsidR="00321C0C" w:rsidRPr="00321C0C" w:rsidRDefault="00321C0C" w:rsidP="00321C0C">
            <w:pPr>
              <w:jc w:val="both"/>
              <w:rPr>
                <w:rFonts w:cs="Times New Roman"/>
                <w:sz w:val="20"/>
                <w:szCs w:val="20"/>
              </w:rPr>
            </w:pPr>
            <w:r w:rsidRPr="00321C0C">
              <w:rPr>
                <w:rFonts w:cs="Times New Roman"/>
                <w:sz w:val="20"/>
                <w:szCs w:val="20"/>
              </w:rPr>
              <w:t>2015</w:t>
            </w:r>
          </w:p>
        </w:tc>
        <w:tc>
          <w:tcPr>
            <w:tcW w:w="10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0A09B8" w14:textId="77777777" w:rsidR="00321C0C" w:rsidRPr="00321C0C" w:rsidRDefault="00321C0C" w:rsidP="00321C0C">
            <w:pPr>
              <w:jc w:val="both"/>
              <w:rPr>
                <w:rFonts w:cs="Times New Roman"/>
                <w:sz w:val="20"/>
                <w:szCs w:val="20"/>
              </w:rPr>
            </w:pPr>
            <w:r w:rsidRPr="00321C0C">
              <w:rPr>
                <w:rFonts w:cs="Times New Roman"/>
                <w:sz w:val="20"/>
                <w:szCs w:val="20"/>
              </w:rPr>
              <w:t>2016</w:t>
            </w:r>
          </w:p>
        </w:tc>
        <w:tc>
          <w:tcPr>
            <w:tcW w:w="1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23A925" w14:textId="77777777" w:rsidR="00321C0C" w:rsidRPr="00321C0C" w:rsidRDefault="00321C0C" w:rsidP="00321C0C">
            <w:pPr>
              <w:jc w:val="both"/>
              <w:rPr>
                <w:rFonts w:cs="Times New Roman"/>
                <w:sz w:val="20"/>
                <w:szCs w:val="20"/>
              </w:rPr>
            </w:pPr>
            <w:r w:rsidRPr="00321C0C">
              <w:rPr>
                <w:rFonts w:cs="Times New Roman"/>
                <w:sz w:val="20"/>
                <w:szCs w:val="20"/>
              </w:rPr>
              <w:t>2017</w:t>
            </w:r>
          </w:p>
        </w:tc>
        <w:tc>
          <w:tcPr>
            <w:tcW w:w="10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1CA6FE" w14:textId="77777777" w:rsidR="00321C0C" w:rsidRPr="00321C0C" w:rsidRDefault="00321C0C" w:rsidP="00321C0C">
            <w:pPr>
              <w:jc w:val="both"/>
              <w:rPr>
                <w:rFonts w:cs="Times New Roman"/>
                <w:sz w:val="20"/>
                <w:szCs w:val="20"/>
              </w:rPr>
            </w:pPr>
            <w:r w:rsidRPr="00321C0C">
              <w:rPr>
                <w:rFonts w:cs="Times New Roman"/>
                <w:sz w:val="20"/>
                <w:szCs w:val="20"/>
              </w:rPr>
              <w:t>2018</w:t>
            </w:r>
          </w:p>
        </w:tc>
        <w:tc>
          <w:tcPr>
            <w:tcW w:w="1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3F1ABF" w14:textId="77777777" w:rsidR="00321C0C" w:rsidRPr="00321C0C" w:rsidRDefault="00321C0C" w:rsidP="00321C0C">
            <w:pPr>
              <w:jc w:val="both"/>
              <w:rPr>
                <w:rFonts w:cs="Times New Roman"/>
                <w:sz w:val="20"/>
                <w:szCs w:val="20"/>
              </w:rPr>
            </w:pPr>
            <w:r w:rsidRPr="00321C0C">
              <w:rPr>
                <w:rFonts w:cs="Times New Roman"/>
                <w:sz w:val="20"/>
                <w:szCs w:val="20"/>
              </w:rPr>
              <w:t>Celkem</w:t>
            </w:r>
          </w:p>
        </w:tc>
      </w:tr>
      <w:tr w:rsidR="00321C0C" w:rsidRPr="00321C0C" w14:paraId="535CAFD8" w14:textId="77777777" w:rsidTr="0096628E">
        <w:tc>
          <w:tcPr>
            <w:tcW w:w="2084" w:type="dxa"/>
            <w:shd w:val="clear" w:color="auto" w:fill="F2F2F2" w:themeFill="background1" w:themeFillShade="F2"/>
          </w:tcPr>
          <w:p w14:paraId="45B5DF81" w14:textId="77777777" w:rsidR="00321C0C" w:rsidRPr="00321C0C" w:rsidRDefault="00321C0C" w:rsidP="00321C0C">
            <w:pPr>
              <w:jc w:val="both"/>
              <w:rPr>
                <w:rFonts w:cs="Times New Roman"/>
                <w:sz w:val="20"/>
                <w:szCs w:val="20"/>
              </w:rPr>
            </w:pPr>
            <w:r w:rsidRPr="00321C0C">
              <w:rPr>
                <w:rFonts w:cs="Times New Roman"/>
                <w:sz w:val="20"/>
                <w:szCs w:val="20"/>
              </w:rPr>
              <w:t>Základní výzkum</w:t>
            </w:r>
          </w:p>
        </w:tc>
        <w:tc>
          <w:tcPr>
            <w:tcW w:w="1060" w:type="dxa"/>
            <w:tcBorders>
              <w:top w:val="single" w:sz="4" w:space="0" w:color="auto"/>
            </w:tcBorders>
            <w:shd w:val="clear" w:color="auto" w:fill="F2F2F2" w:themeFill="background1" w:themeFillShade="F2"/>
          </w:tcPr>
          <w:p w14:paraId="6D4C2CAE" w14:textId="77777777" w:rsidR="00321C0C" w:rsidRPr="00321C0C" w:rsidRDefault="00321C0C" w:rsidP="00321C0C">
            <w:pPr>
              <w:jc w:val="both"/>
              <w:rPr>
                <w:rFonts w:cs="Times New Roman"/>
                <w:sz w:val="20"/>
                <w:szCs w:val="20"/>
              </w:rPr>
            </w:pPr>
          </w:p>
        </w:tc>
        <w:tc>
          <w:tcPr>
            <w:tcW w:w="1060" w:type="dxa"/>
            <w:tcBorders>
              <w:top w:val="single" w:sz="4" w:space="0" w:color="auto"/>
            </w:tcBorders>
            <w:shd w:val="clear" w:color="auto" w:fill="F2F2F2" w:themeFill="background1" w:themeFillShade="F2"/>
          </w:tcPr>
          <w:p w14:paraId="1E5B00BB" w14:textId="77777777" w:rsidR="00321C0C" w:rsidRPr="00321C0C" w:rsidRDefault="00321C0C" w:rsidP="00321C0C">
            <w:pPr>
              <w:jc w:val="both"/>
              <w:rPr>
                <w:rFonts w:cs="Times New Roman"/>
                <w:sz w:val="20"/>
                <w:szCs w:val="20"/>
              </w:rPr>
            </w:pPr>
          </w:p>
        </w:tc>
        <w:tc>
          <w:tcPr>
            <w:tcW w:w="1061" w:type="dxa"/>
            <w:tcBorders>
              <w:top w:val="single" w:sz="4" w:space="0" w:color="auto"/>
            </w:tcBorders>
            <w:shd w:val="clear" w:color="auto" w:fill="F2F2F2" w:themeFill="background1" w:themeFillShade="F2"/>
          </w:tcPr>
          <w:p w14:paraId="2437C09B" w14:textId="77777777" w:rsidR="00321C0C" w:rsidRPr="00321C0C" w:rsidRDefault="00321C0C" w:rsidP="00321C0C">
            <w:pPr>
              <w:jc w:val="both"/>
              <w:rPr>
                <w:rFonts w:cs="Times New Roman"/>
                <w:sz w:val="20"/>
                <w:szCs w:val="20"/>
              </w:rPr>
            </w:pPr>
          </w:p>
        </w:tc>
        <w:tc>
          <w:tcPr>
            <w:tcW w:w="1060" w:type="dxa"/>
            <w:tcBorders>
              <w:top w:val="single" w:sz="4" w:space="0" w:color="auto"/>
            </w:tcBorders>
            <w:shd w:val="clear" w:color="auto" w:fill="F2F2F2" w:themeFill="background1" w:themeFillShade="F2"/>
          </w:tcPr>
          <w:p w14:paraId="09E4B668" w14:textId="77777777" w:rsidR="00321C0C" w:rsidRPr="00321C0C" w:rsidRDefault="00321C0C" w:rsidP="00321C0C">
            <w:pPr>
              <w:jc w:val="both"/>
              <w:rPr>
                <w:rFonts w:cs="Times New Roman"/>
                <w:sz w:val="20"/>
                <w:szCs w:val="20"/>
              </w:rPr>
            </w:pPr>
          </w:p>
        </w:tc>
        <w:tc>
          <w:tcPr>
            <w:tcW w:w="1061" w:type="dxa"/>
            <w:tcBorders>
              <w:top w:val="single" w:sz="4" w:space="0" w:color="auto"/>
            </w:tcBorders>
            <w:shd w:val="clear" w:color="auto" w:fill="F2F2F2" w:themeFill="background1" w:themeFillShade="F2"/>
          </w:tcPr>
          <w:p w14:paraId="26365AD2" w14:textId="77777777" w:rsidR="00321C0C" w:rsidRPr="00321C0C" w:rsidRDefault="00321C0C" w:rsidP="00321C0C">
            <w:pPr>
              <w:jc w:val="both"/>
              <w:rPr>
                <w:rFonts w:cs="Times New Roman"/>
                <w:sz w:val="20"/>
                <w:szCs w:val="20"/>
              </w:rPr>
            </w:pPr>
          </w:p>
        </w:tc>
        <w:tc>
          <w:tcPr>
            <w:tcW w:w="1811" w:type="dxa"/>
            <w:tcBorders>
              <w:top w:val="single" w:sz="4" w:space="0" w:color="auto"/>
            </w:tcBorders>
            <w:shd w:val="clear" w:color="auto" w:fill="F2F2F2" w:themeFill="background1" w:themeFillShade="F2"/>
          </w:tcPr>
          <w:p w14:paraId="0E46F61F" w14:textId="77777777" w:rsidR="00321C0C" w:rsidRPr="00321C0C" w:rsidRDefault="00321C0C" w:rsidP="00321C0C">
            <w:pPr>
              <w:jc w:val="both"/>
              <w:rPr>
                <w:rFonts w:cs="Times New Roman"/>
                <w:sz w:val="20"/>
                <w:szCs w:val="20"/>
              </w:rPr>
            </w:pPr>
          </w:p>
        </w:tc>
      </w:tr>
      <w:tr w:rsidR="00321C0C" w:rsidRPr="00321C0C" w14:paraId="3EDB93E3" w14:textId="77777777" w:rsidTr="0096628E">
        <w:tc>
          <w:tcPr>
            <w:tcW w:w="2084" w:type="dxa"/>
            <w:shd w:val="clear" w:color="auto" w:fill="F2F2F2" w:themeFill="background1" w:themeFillShade="F2"/>
          </w:tcPr>
          <w:p w14:paraId="25D2CE3B" w14:textId="77777777" w:rsidR="00321C0C" w:rsidRPr="00321C0C" w:rsidRDefault="00321C0C" w:rsidP="00321C0C">
            <w:pPr>
              <w:jc w:val="both"/>
              <w:rPr>
                <w:rFonts w:cs="Times New Roman"/>
                <w:sz w:val="20"/>
                <w:szCs w:val="20"/>
              </w:rPr>
            </w:pPr>
            <w:r w:rsidRPr="00321C0C">
              <w:rPr>
                <w:rFonts w:cs="Times New Roman"/>
                <w:sz w:val="20"/>
                <w:szCs w:val="20"/>
              </w:rPr>
              <w:t>Aplikovaný výzkum</w:t>
            </w:r>
          </w:p>
        </w:tc>
        <w:tc>
          <w:tcPr>
            <w:tcW w:w="1060" w:type="dxa"/>
            <w:shd w:val="clear" w:color="auto" w:fill="F2F2F2" w:themeFill="background1" w:themeFillShade="F2"/>
          </w:tcPr>
          <w:p w14:paraId="233E8254" w14:textId="77777777" w:rsidR="00321C0C" w:rsidRPr="00321C0C" w:rsidRDefault="00321C0C" w:rsidP="00321C0C">
            <w:pPr>
              <w:jc w:val="both"/>
              <w:rPr>
                <w:rFonts w:cs="Times New Roman"/>
                <w:sz w:val="20"/>
                <w:szCs w:val="20"/>
              </w:rPr>
            </w:pPr>
          </w:p>
        </w:tc>
        <w:tc>
          <w:tcPr>
            <w:tcW w:w="1060" w:type="dxa"/>
            <w:shd w:val="clear" w:color="auto" w:fill="F2F2F2" w:themeFill="background1" w:themeFillShade="F2"/>
          </w:tcPr>
          <w:p w14:paraId="301AA2A3" w14:textId="77777777" w:rsidR="00321C0C" w:rsidRPr="00321C0C" w:rsidRDefault="00321C0C" w:rsidP="00321C0C">
            <w:pPr>
              <w:jc w:val="both"/>
              <w:rPr>
                <w:rFonts w:cs="Times New Roman"/>
                <w:sz w:val="20"/>
                <w:szCs w:val="20"/>
              </w:rPr>
            </w:pPr>
          </w:p>
        </w:tc>
        <w:tc>
          <w:tcPr>
            <w:tcW w:w="1061" w:type="dxa"/>
            <w:shd w:val="clear" w:color="auto" w:fill="F2F2F2" w:themeFill="background1" w:themeFillShade="F2"/>
          </w:tcPr>
          <w:p w14:paraId="08DE240E" w14:textId="77777777" w:rsidR="00321C0C" w:rsidRPr="00321C0C" w:rsidRDefault="00321C0C" w:rsidP="00321C0C">
            <w:pPr>
              <w:jc w:val="both"/>
              <w:rPr>
                <w:rFonts w:cs="Times New Roman"/>
                <w:sz w:val="20"/>
                <w:szCs w:val="20"/>
              </w:rPr>
            </w:pPr>
          </w:p>
        </w:tc>
        <w:tc>
          <w:tcPr>
            <w:tcW w:w="1060" w:type="dxa"/>
            <w:shd w:val="clear" w:color="auto" w:fill="F2F2F2" w:themeFill="background1" w:themeFillShade="F2"/>
          </w:tcPr>
          <w:p w14:paraId="4D19E296" w14:textId="77777777" w:rsidR="00321C0C" w:rsidRPr="00321C0C" w:rsidRDefault="00321C0C" w:rsidP="00321C0C">
            <w:pPr>
              <w:jc w:val="both"/>
              <w:rPr>
                <w:rFonts w:cs="Times New Roman"/>
                <w:sz w:val="20"/>
                <w:szCs w:val="20"/>
              </w:rPr>
            </w:pPr>
          </w:p>
        </w:tc>
        <w:tc>
          <w:tcPr>
            <w:tcW w:w="1061" w:type="dxa"/>
            <w:shd w:val="clear" w:color="auto" w:fill="F2F2F2" w:themeFill="background1" w:themeFillShade="F2"/>
          </w:tcPr>
          <w:p w14:paraId="7516627D" w14:textId="77777777" w:rsidR="00321C0C" w:rsidRPr="00321C0C" w:rsidRDefault="00321C0C" w:rsidP="00321C0C">
            <w:pPr>
              <w:jc w:val="both"/>
              <w:rPr>
                <w:rFonts w:cs="Times New Roman"/>
                <w:sz w:val="20"/>
                <w:szCs w:val="20"/>
              </w:rPr>
            </w:pPr>
          </w:p>
        </w:tc>
        <w:tc>
          <w:tcPr>
            <w:tcW w:w="1811" w:type="dxa"/>
            <w:shd w:val="clear" w:color="auto" w:fill="F2F2F2" w:themeFill="background1" w:themeFillShade="F2"/>
          </w:tcPr>
          <w:p w14:paraId="76CD58FB" w14:textId="77777777" w:rsidR="00321C0C" w:rsidRPr="00321C0C" w:rsidRDefault="00321C0C" w:rsidP="00321C0C">
            <w:pPr>
              <w:jc w:val="both"/>
              <w:rPr>
                <w:rFonts w:cs="Times New Roman"/>
                <w:sz w:val="20"/>
                <w:szCs w:val="20"/>
              </w:rPr>
            </w:pPr>
          </w:p>
        </w:tc>
      </w:tr>
      <w:tr w:rsidR="00321C0C" w:rsidRPr="00321C0C" w14:paraId="7AAE628A" w14:textId="77777777" w:rsidTr="0096628E">
        <w:tc>
          <w:tcPr>
            <w:tcW w:w="2084" w:type="dxa"/>
            <w:shd w:val="clear" w:color="auto" w:fill="F2F2F2" w:themeFill="background1" w:themeFillShade="F2"/>
          </w:tcPr>
          <w:p w14:paraId="08C54B4D" w14:textId="77777777" w:rsidR="00321C0C" w:rsidRPr="00321C0C" w:rsidRDefault="00321C0C" w:rsidP="00321C0C">
            <w:pPr>
              <w:jc w:val="both"/>
              <w:rPr>
                <w:rFonts w:cs="Times New Roman"/>
                <w:sz w:val="20"/>
                <w:szCs w:val="20"/>
              </w:rPr>
            </w:pPr>
            <w:r w:rsidRPr="00321C0C">
              <w:rPr>
                <w:rFonts w:cs="Times New Roman"/>
                <w:sz w:val="20"/>
                <w:szCs w:val="20"/>
              </w:rPr>
              <w:t>Experimentální vývoj a inovace</w:t>
            </w:r>
          </w:p>
        </w:tc>
        <w:tc>
          <w:tcPr>
            <w:tcW w:w="1060" w:type="dxa"/>
            <w:shd w:val="clear" w:color="auto" w:fill="F2F2F2" w:themeFill="background1" w:themeFillShade="F2"/>
          </w:tcPr>
          <w:p w14:paraId="13E688AA" w14:textId="77777777" w:rsidR="00321C0C" w:rsidRPr="00321C0C" w:rsidRDefault="00321C0C" w:rsidP="00321C0C">
            <w:pPr>
              <w:jc w:val="both"/>
              <w:rPr>
                <w:rFonts w:cs="Times New Roman"/>
                <w:sz w:val="20"/>
                <w:szCs w:val="20"/>
              </w:rPr>
            </w:pPr>
          </w:p>
        </w:tc>
        <w:tc>
          <w:tcPr>
            <w:tcW w:w="1060" w:type="dxa"/>
            <w:shd w:val="clear" w:color="auto" w:fill="F2F2F2" w:themeFill="background1" w:themeFillShade="F2"/>
          </w:tcPr>
          <w:p w14:paraId="0E15A45F" w14:textId="77777777" w:rsidR="00321C0C" w:rsidRPr="00321C0C" w:rsidRDefault="00321C0C" w:rsidP="00321C0C">
            <w:pPr>
              <w:jc w:val="both"/>
              <w:rPr>
                <w:rFonts w:cs="Times New Roman"/>
                <w:sz w:val="20"/>
                <w:szCs w:val="20"/>
              </w:rPr>
            </w:pPr>
          </w:p>
        </w:tc>
        <w:tc>
          <w:tcPr>
            <w:tcW w:w="1061" w:type="dxa"/>
            <w:shd w:val="clear" w:color="auto" w:fill="F2F2F2" w:themeFill="background1" w:themeFillShade="F2"/>
          </w:tcPr>
          <w:p w14:paraId="6F4F9658" w14:textId="77777777" w:rsidR="00321C0C" w:rsidRPr="00321C0C" w:rsidRDefault="00321C0C" w:rsidP="00321C0C">
            <w:pPr>
              <w:jc w:val="both"/>
              <w:rPr>
                <w:rFonts w:cs="Times New Roman"/>
                <w:sz w:val="20"/>
                <w:szCs w:val="20"/>
              </w:rPr>
            </w:pPr>
          </w:p>
        </w:tc>
        <w:tc>
          <w:tcPr>
            <w:tcW w:w="1060" w:type="dxa"/>
            <w:shd w:val="clear" w:color="auto" w:fill="F2F2F2" w:themeFill="background1" w:themeFillShade="F2"/>
          </w:tcPr>
          <w:p w14:paraId="5B4792E5" w14:textId="77777777" w:rsidR="00321C0C" w:rsidRPr="00321C0C" w:rsidRDefault="00321C0C" w:rsidP="00321C0C">
            <w:pPr>
              <w:jc w:val="both"/>
              <w:rPr>
                <w:rFonts w:cs="Times New Roman"/>
                <w:sz w:val="20"/>
                <w:szCs w:val="20"/>
              </w:rPr>
            </w:pPr>
          </w:p>
        </w:tc>
        <w:tc>
          <w:tcPr>
            <w:tcW w:w="1061" w:type="dxa"/>
            <w:shd w:val="clear" w:color="auto" w:fill="F2F2F2" w:themeFill="background1" w:themeFillShade="F2"/>
          </w:tcPr>
          <w:p w14:paraId="63DB4ECE" w14:textId="77777777" w:rsidR="00321C0C" w:rsidRPr="00321C0C" w:rsidRDefault="00321C0C" w:rsidP="00321C0C">
            <w:pPr>
              <w:jc w:val="both"/>
              <w:rPr>
                <w:rFonts w:cs="Times New Roman"/>
                <w:sz w:val="20"/>
                <w:szCs w:val="20"/>
              </w:rPr>
            </w:pPr>
          </w:p>
        </w:tc>
        <w:tc>
          <w:tcPr>
            <w:tcW w:w="1811" w:type="dxa"/>
            <w:shd w:val="clear" w:color="auto" w:fill="F2F2F2" w:themeFill="background1" w:themeFillShade="F2"/>
          </w:tcPr>
          <w:p w14:paraId="6F6B1916" w14:textId="77777777" w:rsidR="00321C0C" w:rsidRPr="00321C0C" w:rsidRDefault="00321C0C" w:rsidP="00321C0C">
            <w:pPr>
              <w:jc w:val="both"/>
              <w:rPr>
                <w:rFonts w:cs="Times New Roman"/>
                <w:sz w:val="20"/>
                <w:szCs w:val="20"/>
              </w:rPr>
            </w:pPr>
          </w:p>
        </w:tc>
      </w:tr>
      <w:tr w:rsidR="00321C0C" w:rsidRPr="00321C0C" w14:paraId="0CC6AA50" w14:textId="77777777" w:rsidTr="0096628E">
        <w:tc>
          <w:tcPr>
            <w:tcW w:w="2084" w:type="dxa"/>
            <w:shd w:val="clear" w:color="auto" w:fill="F2F2F2" w:themeFill="background1" w:themeFillShade="F2"/>
          </w:tcPr>
          <w:p w14:paraId="0F074A96" w14:textId="77777777" w:rsidR="00321C0C" w:rsidRPr="00321C0C" w:rsidRDefault="00321C0C" w:rsidP="00321C0C">
            <w:pPr>
              <w:jc w:val="both"/>
              <w:rPr>
                <w:rFonts w:cs="Times New Roman"/>
                <w:sz w:val="20"/>
                <w:szCs w:val="20"/>
              </w:rPr>
            </w:pPr>
            <w:r w:rsidRPr="00321C0C">
              <w:rPr>
                <w:rFonts w:cs="Times New Roman"/>
                <w:sz w:val="20"/>
                <w:szCs w:val="20"/>
              </w:rPr>
              <w:t>Celkem</w:t>
            </w:r>
          </w:p>
        </w:tc>
        <w:tc>
          <w:tcPr>
            <w:tcW w:w="1060" w:type="dxa"/>
            <w:shd w:val="clear" w:color="auto" w:fill="F2F2F2" w:themeFill="background1" w:themeFillShade="F2"/>
          </w:tcPr>
          <w:p w14:paraId="25C5191C" w14:textId="77777777" w:rsidR="00321C0C" w:rsidRPr="00321C0C" w:rsidRDefault="00321C0C" w:rsidP="00321C0C">
            <w:pPr>
              <w:jc w:val="both"/>
              <w:rPr>
                <w:rFonts w:cs="Times New Roman"/>
                <w:sz w:val="20"/>
                <w:szCs w:val="20"/>
              </w:rPr>
            </w:pPr>
            <w:r w:rsidRPr="00321C0C">
              <w:rPr>
                <w:rFonts w:cs="Times New Roman"/>
                <w:sz w:val="20"/>
                <w:szCs w:val="20"/>
              </w:rPr>
              <w:t>100</w:t>
            </w:r>
          </w:p>
        </w:tc>
        <w:tc>
          <w:tcPr>
            <w:tcW w:w="1060" w:type="dxa"/>
            <w:shd w:val="clear" w:color="auto" w:fill="F2F2F2" w:themeFill="background1" w:themeFillShade="F2"/>
          </w:tcPr>
          <w:p w14:paraId="15611EFE" w14:textId="77777777" w:rsidR="00321C0C" w:rsidRPr="00321C0C" w:rsidRDefault="00321C0C" w:rsidP="00321C0C">
            <w:pPr>
              <w:jc w:val="both"/>
              <w:rPr>
                <w:rFonts w:cs="Times New Roman"/>
                <w:sz w:val="20"/>
                <w:szCs w:val="20"/>
              </w:rPr>
            </w:pPr>
            <w:r w:rsidRPr="00321C0C">
              <w:rPr>
                <w:rFonts w:cs="Times New Roman"/>
                <w:sz w:val="20"/>
                <w:szCs w:val="20"/>
              </w:rPr>
              <w:t>100</w:t>
            </w:r>
          </w:p>
        </w:tc>
        <w:tc>
          <w:tcPr>
            <w:tcW w:w="1061" w:type="dxa"/>
            <w:shd w:val="clear" w:color="auto" w:fill="F2F2F2" w:themeFill="background1" w:themeFillShade="F2"/>
          </w:tcPr>
          <w:p w14:paraId="49EEA541" w14:textId="77777777" w:rsidR="00321C0C" w:rsidRPr="00321C0C" w:rsidRDefault="00321C0C" w:rsidP="00321C0C">
            <w:pPr>
              <w:jc w:val="both"/>
              <w:rPr>
                <w:rFonts w:cs="Times New Roman"/>
                <w:sz w:val="20"/>
                <w:szCs w:val="20"/>
              </w:rPr>
            </w:pPr>
            <w:r w:rsidRPr="00321C0C">
              <w:rPr>
                <w:rFonts w:cs="Times New Roman"/>
                <w:sz w:val="20"/>
                <w:szCs w:val="20"/>
              </w:rPr>
              <w:t>100</w:t>
            </w:r>
          </w:p>
        </w:tc>
        <w:tc>
          <w:tcPr>
            <w:tcW w:w="1060" w:type="dxa"/>
            <w:shd w:val="clear" w:color="auto" w:fill="F2F2F2" w:themeFill="background1" w:themeFillShade="F2"/>
          </w:tcPr>
          <w:p w14:paraId="6346842E" w14:textId="77777777" w:rsidR="00321C0C" w:rsidRPr="00321C0C" w:rsidRDefault="00321C0C" w:rsidP="00321C0C">
            <w:pPr>
              <w:jc w:val="both"/>
              <w:rPr>
                <w:rFonts w:cs="Times New Roman"/>
                <w:sz w:val="20"/>
                <w:szCs w:val="20"/>
              </w:rPr>
            </w:pPr>
            <w:r w:rsidRPr="00321C0C">
              <w:rPr>
                <w:rFonts w:cs="Times New Roman"/>
                <w:sz w:val="20"/>
                <w:szCs w:val="20"/>
              </w:rPr>
              <w:t>100</w:t>
            </w:r>
          </w:p>
        </w:tc>
        <w:tc>
          <w:tcPr>
            <w:tcW w:w="1061" w:type="dxa"/>
            <w:shd w:val="clear" w:color="auto" w:fill="F2F2F2" w:themeFill="background1" w:themeFillShade="F2"/>
          </w:tcPr>
          <w:p w14:paraId="2349C330" w14:textId="77777777" w:rsidR="00321C0C" w:rsidRPr="00321C0C" w:rsidRDefault="00321C0C" w:rsidP="00321C0C">
            <w:pPr>
              <w:jc w:val="both"/>
              <w:rPr>
                <w:rFonts w:cs="Times New Roman"/>
                <w:sz w:val="20"/>
                <w:szCs w:val="20"/>
              </w:rPr>
            </w:pPr>
            <w:r w:rsidRPr="00321C0C">
              <w:rPr>
                <w:rFonts w:cs="Times New Roman"/>
                <w:sz w:val="20"/>
                <w:szCs w:val="20"/>
              </w:rPr>
              <w:t>100</w:t>
            </w:r>
          </w:p>
        </w:tc>
        <w:tc>
          <w:tcPr>
            <w:tcW w:w="1811" w:type="dxa"/>
            <w:shd w:val="clear" w:color="auto" w:fill="F2F2F2" w:themeFill="background1" w:themeFillShade="F2"/>
          </w:tcPr>
          <w:p w14:paraId="5FD1C02F" w14:textId="77777777" w:rsidR="00321C0C" w:rsidRPr="00321C0C" w:rsidRDefault="00321C0C" w:rsidP="00321C0C">
            <w:pPr>
              <w:jc w:val="both"/>
              <w:rPr>
                <w:rFonts w:cs="Times New Roman"/>
                <w:sz w:val="20"/>
                <w:szCs w:val="20"/>
              </w:rPr>
            </w:pPr>
            <w:r w:rsidRPr="00321C0C">
              <w:rPr>
                <w:rFonts w:cs="Times New Roman"/>
                <w:sz w:val="20"/>
                <w:szCs w:val="20"/>
              </w:rPr>
              <w:t>100</w:t>
            </w:r>
          </w:p>
        </w:tc>
      </w:tr>
    </w:tbl>
    <w:p w14:paraId="3C806D5E" w14:textId="77777777" w:rsidR="00321C0C" w:rsidRPr="00321C0C" w:rsidRDefault="00321C0C" w:rsidP="00321C0C">
      <w:pPr>
        <w:widowControl w:val="0"/>
        <w:autoSpaceDE w:val="0"/>
        <w:autoSpaceDN w:val="0"/>
        <w:adjustRightInd w:val="0"/>
        <w:contextualSpacing/>
        <w:jc w:val="both"/>
        <w:rPr>
          <w:rFonts w:eastAsia="OpenSymbol" w:cs="Times New Roman"/>
          <w:b/>
          <w:kern w:val="1"/>
          <w:sz w:val="22"/>
          <w:szCs w:val="22"/>
          <w:lang w:val="cs-CZ"/>
        </w:rPr>
      </w:pPr>
    </w:p>
    <w:p w14:paraId="25F092BB" w14:textId="77777777" w:rsidR="00321C0C" w:rsidRPr="00321C0C" w:rsidRDefault="00321C0C" w:rsidP="00321C0C">
      <w:pPr>
        <w:spacing w:line="240" w:lineRule="atLeast"/>
        <w:jc w:val="both"/>
        <w:rPr>
          <w:rFonts w:cstheme="minorHAnsi"/>
          <w:sz w:val="20"/>
          <w:szCs w:val="20"/>
          <w:lang w:val="cs-CZ"/>
        </w:rPr>
      </w:pPr>
      <w:r w:rsidRPr="00321C0C">
        <w:rPr>
          <w:rFonts w:cstheme="minorHAnsi"/>
          <w:sz w:val="20"/>
          <w:szCs w:val="20"/>
          <w:lang w:val="cs-CZ"/>
        </w:rPr>
        <w:t xml:space="preserve">Pozn.: </w:t>
      </w:r>
      <w:r w:rsidRPr="00321C0C">
        <w:rPr>
          <w:rFonts w:cstheme="minorHAnsi"/>
          <w:color w:val="000000" w:themeColor="text1"/>
          <w:sz w:val="20"/>
          <w:szCs w:val="20"/>
          <w:lang w:val="cs-CZ"/>
        </w:rPr>
        <w:t xml:space="preserve">Dle § 2 zákona č. 130/2002 Sb. se </w:t>
      </w:r>
      <w:r w:rsidRPr="00321C0C">
        <w:rPr>
          <w:rFonts w:cstheme="minorHAnsi"/>
          <w:sz w:val="20"/>
          <w:szCs w:val="20"/>
          <w:lang w:val="cs-CZ"/>
        </w:rPr>
        <w:t>základním výzkumem rozumí teoretická nebo experimentální práce prováděná zejména za účelem získání nových vědomostí o základních principech jevů nebo pozorovatelných skutečností, která není primárně zaměřena na uplatnění nebo využití v praxi.</w:t>
      </w:r>
    </w:p>
    <w:p w14:paraId="1939D2C6" w14:textId="77777777" w:rsidR="00321C0C" w:rsidRPr="00321C0C" w:rsidRDefault="00321C0C" w:rsidP="00321C0C">
      <w:pPr>
        <w:spacing w:line="240" w:lineRule="atLeast"/>
        <w:jc w:val="both"/>
        <w:rPr>
          <w:rFonts w:cstheme="minorHAnsi"/>
          <w:sz w:val="20"/>
          <w:szCs w:val="20"/>
          <w:lang w:val="cs-CZ"/>
        </w:rPr>
      </w:pPr>
      <w:r w:rsidRPr="00321C0C">
        <w:rPr>
          <w:rFonts w:cstheme="minorHAnsi"/>
          <w:sz w:val="20"/>
          <w:szCs w:val="20"/>
          <w:lang w:val="cs-CZ"/>
        </w:rPr>
        <w:t xml:space="preserve">            Inovacemi se rozumí zavedení nových nebo podstatně zdokonalených výrobků, postupů nebo služeb do praxe.</w:t>
      </w:r>
    </w:p>
    <w:p w14:paraId="5A57AA4E" w14:textId="77777777" w:rsidR="00321C0C" w:rsidRPr="00321C0C" w:rsidRDefault="00321C0C" w:rsidP="00321C0C">
      <w:pPr>
        <w:widowControl w:val="0"/>
        <w:autoSpaceDE w:val="0"/>
        <w:autoSpaceDN w:val="0"/>
        <w:adjustRightInd w:val="0"/>
        <w:contextualSpacing/>
        <w:jc w:val="both"/>
        <w:rPr>
          <w:rFonts w:cstheme="minorHAnsi"/>
          <w:sz w:val="20"/>
          <w:szCs w:val="20"/>
          <w:lang w:val="cs-CZ"/>
        </w:rPr>
      </w:pPr>
      <w:r w:rsidRPr="00321C0C">
        <w:rPr>
          <w:rFonts w:cstheme="minorHAnsi"/>
          <w:sz w:val="20"/>
          <w:szCs w:val="20"/>
          <w:lang w:val="cs-CZ"/>
        </w:rPr>
        <w:t xml:space="preserve">            Ostatní definice – viz OECD </w:t>
      </w:r>
      <w:proofErr w:type="spellStart"/>
      <w:r w:rsidRPr="00321C0C">
        <w:rPr>
          <w:rFonts w:cstheme="minorHAnsi"/>
          <w:sz w:val="20"/>
          <w:szCs w:val="20"/>
          <w:lang w:val="cs-CZ"/>
        </w:rPr>
        <w:t>Fields</w:t>
      </w:r>
      <w:proofErr w:type="spellEnd"/>
      <w:r w:rsidRPr="00321C0C">
        <w:rPr>
          <w:rFonts w:cstheme="minorHAnsi"/>
          <w:sz w:val="20"/>
          <w:szCs w:val="20"/>
          <w:lang w:val="cs-CZ"/>
        </w:rPr>
        <w:t xml:space="preserve"> </w:t>
      </w:r>
      <w:proofErr w:type="spellStart"/>
      <w:r w:rsidRPr="00321C0C">
        <w:rPr>
          <w:rFonts w:cstheme="minorHAnsi"/>
          <w:sz w:val="20"/>
          <w:szCs w:val="20"/>
          <w:lang w:val="cs-CZ"/>
        </w:rPr>
        <w:t>of</w:t>
      </w:r>
      <w:proofErr w:type="spellEnd"/>
      <w:r w:rsidRPr="00321C0C">
        <w:rPr>
          <w:rFonts w:cstheme="minorHAnsi"/>
          <w:sz w:val="20"/>
          <w:szCs w:val="20"/>
          <w:lang w:val="cs-CZ"/>
        </w:rPr>
        <w:t xml:space="preserve"> </w:t>
      </w:r>
      <w:proofErr w:type="spellStart"/>
      <w:r w:rsidRPr="00321C0C">
        <w:rPr>
          <w:rFonts w:cstheme="minorHAnsi"/>
          <w:sz w:val="20"/>
          <w:szCs w:val="20"/>
          <w:lang w:val="cs-CZ"/>
        </w:rPr>
        <w:t>Research</w:t>
      </w:r>
      <w:proofErr w:type="spellEnd"/>
      <w:r w:rsidRPr="00321C0C">
        <w:rPr>
          <w:rFonts w:cstheme="minorHAnsi"/>
          <w:sz w:val="20"/>
          <w:szCs w:val="20"/>
          <w:lang w:val="cs-CZ"/>
        </w:rPr>
        <w:t xml:space="preserve"> and </w:t>
      </w:r>
      <w:proofErr w:type="spellStart"/>
      <w:r w:rsidRPr="00321C0C">
        <w:rPr>
          <w:rFonts w:cstheme="minorHAnsi"/>
          <w:sz w:val="20"/>
          <w:szCs w:val="20"/>
          <w:lang w:val="cs-CZ"/>
        </w:rPr>
        <w:t>Development</w:t>
      </w:r>
      <w:proofErr w:type="spellEnd"/>
      <w:r w:rsidRPr="00321C0C">
        <w:rPr>
          <w:rFonts w:cstheme="minorHAnsi"/>
          <w:sz w:val="20"/>
          <w:szCs w:val="20"/>
          <w:lang w:val="cs-CZ"/>
        </w:rPr>
        <w:t xml:space="preserve"> (FRASCATI manuál 2015).</w:t>
      </w:r>
    </w:p>
    <w:p w14:paraId="702D4AE6" w14:textId="77777777" w:rsidR="00321C0C" w:rsidRPr="00321C0C" w:rsidRDefault="00321C0C" w:rsidP="00321C0C">
      <w:pPr>
        <w:widowControl w:val="0"/>
        <w:autoSpaceDE w:val="0"/>
        <w:autoSpaceDN w:val="0"/>
        <w:adjustRightInd w:val="0"/>
        <w:contextualSpacing/>
        <w:jc w:val="both"/>
        <w:rPr>
          <w:rFonts w:cstheme="minorHAnsi"/>
          <w:sz w:val="20"/>
          <w:szCs w:val="20"/>
          <w:lang w:val="cs-CZ"/>
        </w:rPr>
      </w:pPr>
    </w:p>
    <w:p w14:paraId="149F4E39" w14:textId="77777777" w:rsidR="00321C0C" w:rsidRPr="00321C0C" w:rsidRDefault="00321C0C" w:rsidP="00321C0C">
      <w:pPr>
        <w:contextualSpacing/>
        <w:jc w:val="both"/>
        <w:rPr>
          <w:rFonts w:cstheme="minorHAnsi"/>
          <w:sz w:val="22"/>
          <w:szCs w:val="22"/>
          <w:lang w:val="cs-CZ"/>
        </w:rPr>
      </w:pPr>
      <w:r w:rsidRPr="00321C0C">
        <w:rPr>
          <w:rFonts w:cstheme="minorHAnsi"/>
          <w:sz w:val="22"/>
          <w:szCs w:val="22"/>
          <w:lang w:val="cs-CZ"/>
        </w:rPr>
        <w:t>4.19.2 Projekty podporované zahraničním poskytovatelem</w:t>
      </w:r>
    </w:p>
    <w:p w14:paraId="3E888D24" w14:textId="77777777" w:rsidR="00321C0C" w:rsidRPr="00321C0C" w:rsidRDefault="00321C0C" w:rsidP="00321C0C">
      <w:pPr>
        <w:spacing w:line="240" w:lineRule="atLeast"/>
        <w:jc w:val="both"/>
        <w:rPr>
          <w:rFonts w:ascii="Times New Roman" w:hAnsi="Times New Roman" w:cs="Times New Roman"/>
          <w:b/>
          <w:sz w:val="22"/>
          <w:szCs w:val="22"/>
          <w:u w:val="single"/>
          <w:lang w:val="cs-CZ"/>
        </w:rPr>
      </w:pPr>
    </w:p>
    <w:tbl>
      <w:tblPr>
        <w:tblStyle w:val="Mkatabulky2"/>
        <w:tblW w:w="10774" w:type="dxa"/>
        <w:tblInd w:w="-856" w:type="dxa"/>
        <w:shd w:val="clear" w:color="auto" w:fill="F2F2F2" w:themeFill="background1" w:themeFillShade="F2"/>
        <w:tblLayout w:type="fixed"/>
        <w:tblLook w:val="04A0" w:firstRow="1" w:lastRow="0" w:firstColumn="1" w:lastColumn="0" w:noHBand="0" w:noVBand="1"/>
      </w:tblPr>
      <w:tblGrid>
        <w:gridCol w:w="1277"/>
        <w:gridCol w:w="1701"/>
        <w:gridCol w:w="4252"/>
        <w:gridCol w:w="709"/>
        <w:gridCol w:w="709"/>
        <w:gridCol w:w="708"/>
        <w:gridCol w:w="709"/>
        <w:gridCol w:w="709"/>
      </w:tblGrid>
      <w:tr w:rsidR="00321C0C" w:rsidRPr="00321C0C" w14:paraId="40ADB70E" w14:textId="77777777" w:rsidTr="0096628E">
        <w:tc>
          <w:tcPr>
            <w:tcW w:w="10774" w:type="dxa"/>
            <w:gridSpan w:val="8"/>
            <w:shd w:val="clear" w:color="auto" w:fill="F2F2F2" w:themeFill="background1" w:themeFillShade="F2"/>
          </w:tcPr>
          <w:p w14:paraId="179B6CE8"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V roli příjemce</w:t>
            </w:r>
          </w:p>
        </w:tc>
      </w:tr>
      <w:tr w:rsidR="00321C0C" w:rsidRPr="00321C0C" w14:paraId="2F9D577E" w14:textId="77777777" w:rsidTr="0096628E">
        <w:tc>
          <w:tcPr>
            <w:tcW w:w="1277" w:type="dxa"/>
            <w:vMerge w:val="restart"/>
            <w:shd w:val="clear" w:color="auto" w:fill="F2F2F2" w:themeFill="background1" w:themeFillShade="F2"/>
          </w:tcPr>
          <w:p w14:paraId="63546575"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Poskytovatel /Investor</w:t>
            </w:r>
          </w:p>
        </w:tc>
        <w:tc>
          <w:tcPr>
            <w:tcW w:w="1701" w:type="dxa"/>
            <w:vMerge w:val="restart"/>
            <w:shd w:val="clear" w:color="auto" w:fill="F2F2F2" w:themeFill="background1" w:themeFillShade="F2"/>
          </w:tcPr>
          <w:p w14:paraId="37C51D62"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Program/Dotační schéma</w:t>
            </w:r>
          </w:p>
        </w:tc>
        <w:tc>
          <w:tcPr>
            <w:tcW w:w="4252" w:type="dxa"/>
            <w:vMerge w:val="restart"/>
            <w:shd w:val="clear" w:color="auto" w:fill="F2F2F2" w:themeFill="background1" w:themeFillShade="F2"/>
          </w:tcPr>
          <w:p w14:paraId="20051750"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Název projektu</w:t>
            </w:r>
          </w:p>
        </w:tc>
        <w:tc>
          <w:tcPr>
            <w:tcW w:w="3544" w:type="dxa"/>
            <w:gridSpan w:val="5"/>
            <w:shd w:val="clear" w:color="auto" w:fill="F2F2F2" w:themeFill="background1" w:themeFillShade="F2"/>
          </w:tcPr>
          <w:p w14:paraId="7E5C2250"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Podpora (v tis. Kč)</w:t>
            </w:r>
          </w:p>
        </w:tc>
      </w:tr>
      <w:tr w:rsidR="00321C0C" w:rsidRPr="00321C0C" w14:paraId="298855AF" w14:textId="77777777" w:rsidTr="0096628E">
        <w:tc>
          <w:tcPr>
            <w:tcW w:w="1277" w:type="dxa"/>
            <w:vMerge/>
            <w:shd w:val="clear" w:color="auto" w:fill="F2F2F2" w:themeFill="background1" w:themeFillShade="F2"/>
          </w:tcPr>
          <w:p w14:paraId="42323D23" w14:textId="77777777" w:rsidR="00321C0C" w:rsidRPr="00321C0C" w:rsidRDefault="00321C0C" w:rsidP="00321C0C">
            <w:pPr>
              <w:spacing w:line="240" w:lineRule="atLeast"/>
              <w:contextualSpacing/>
              <w:jc w:val="both"/>
              <w:rPr>
                <w:rFonts w:cstheme="minorHAnsi"/>
                <w:b/>
                <w:sz w:val="20"/>
                <w:szCs w:val="20"/>
                <w:u w:val="single"/>
              </w:rPr>
            </w:pPr>
          </w:p>
        </w:tc>
        <w:tc>
          <w:tcPr>
            <w:tcW w:w="1701" w:type="dxa"/>
            <w:vMerge/>
            <w:shd w:val="clear" w:color="auto" w:fill="F2F2F2" w:themeFill="background1" w:themeFillShade="F2"/>
          </w:tcPr>
          <w:p w14:paraId="1C6042AE" w14:textId="77777777" w:rsidR="00321C0C" w:rsidRPr="00321C0C" w:rsidRDefault="00321C0C" w:rsidP="00321C0C">
            <w:pPr>
              <w:spacing w:line="240" w:lineRule="atLeast"/>
              <w:contextualSpacing/>
              <w:jc w:val="both"/>
              <w:rPr>
                <w:rFonts w:cstheme="minorHAnsi"/>
                <w:sz w:val="20"/>
                <w:szCs w:val="20"/>
              </w:rPr>
            </w:pPr>
          </w:p>
        </w:tc>
        <w:tc>
          <w:tcPr>
            <w:tcW w:w="4252" w:type="dxa"/>
            <w:vMerge/>
            <w:shd w:val="clear" w:color="auto" w:fill="F2F2F2" w:themeFill="background1" w:themeFillShade="F2"/>
          </w:tcPr>
          <w:p w14:paraId="33EAD452" w14:textId="77777777" w:rsidR="00321C0C" w:rsidRPr="00321C0C" w:rsidRDefault="00321C0C" w:rsidP="00321C0C">
            <w:pPr>
              <w:spacing w:line="240" w:lineRule="atLeast"/>
              <w:contextualSpacing/>
              <w:jc w:val="both"/>
              <w:rPr>
                <w:rFonts w:cstheme="minorHAnsi"/>
                <w:sz w:val="20"/>
                <w:szCs w:val="20"/>
              </w:rPr>
            </w:pPr>
          </w:p>
        </w:tc>
        <w:tc>
          <w:tcPr>
            <w:tcW w:w="709" w:type="dxa"/>
            <w:shd w:val="clear" w:color="auto" w:fill="F2F2F2" w:themeFill="background1" w:themeFillShade="F2"/>
          </w:tcPr>
          <w:p w14:paraId="52E00FBA" w14:textId="77777777" w:rsidR="00321C0C" w:rsidRPr="00321C0C" w:rsidRDefault="00321C0C" w:rsidP="00321C0C">
            <w:pPr>
              <w:spacing w:line="240" w:lineRule="atLeast"/>
              <w:contextualSpacing/>
              <w:jc w:val="both"/>
              <w:rPr>
                <w:rFonts w:cstheme="minorHAnsi"/>
                <w:sz w:val="20"/>
                <w:szCs w:val="20"/>
              </w:rPr>
            </w:pPr>
            <w:r w:rsidRPr="00321C0C">
              <w:rPr>
                <w:rFonts w:cs="Times New Roman"/>
                <w:sz w:val="20"/>
                <w:szCs w:val="20"/>
              </w:rPr>
              <w:t>2014</w:t>
            </w:r>
          </w:p>
        </w:tc>
        <w:tc>
          <w:tcPr>
            <w:tcW w:w="709" w:type="dxa"/>
            <w:shd w:val="clear" w:color="auto" w:fill="F2F2F2" w:themeFill="background1" w:themeFillShade="F2"/>
          </w:tcPr>
          <w:p w14:paraId="78C82669" w14:textId="77777777" w:rsidR="00321C0C" w:rsidRPr="00321C0C" w:rsidRDefault="00321C0C" w:rsidP="00321C0C">
            <w:pPr>
              <w:spacing w:line="240" w:lineRule="atLeast"/>
              <w:contextualSpacing/>
              <w:jc w:val="both"/>
              <w:rPr>
                <w:rFonts w:cstheme="minorHAnsi"/>
                <w:sz w:val="20"/>
                <w:szCs w:val="20"/>
              </w:rPr>
            </w:pPr>
            <w:r w:rsidRPr="00321C0C">
              <w:rPr>
                <w:rFonts w:cs="Times New Roman"/>
                <w:sz w:val="20"/>
                <w:szCs w:val="20"/>
              </w:rPr>
              <w:t>2015</w:t>
            </w:r>
          </w:p>
        </w:tc>
        <w:tc>
          <w:tcPr>
            <w:tcW w:w="708" w:type="dxa"/>
            <w:shd w:val="clear" w:color="auto" w:fill="F2F2F2" w:themeFill="background1" w:themeFillShade="F2"/>
          </w:tcPr>
          <w:p w14:paraId="3176942A" w14:textId="77777777" w:rsidR="00321C0C" w:rsidRPr="00321C0C" w:rsidRDefault="00321C0C" w:rsidP="00321C0C">
            <w:pPr>
              <w:spacing w:line="240" w:lineRule="atLeast"/>
              <w:contextualSpacing/>
              <w:jc w:val="both"/>
              <w:rPr>
                <w:rFonts w:cstheme="minorHAnsi"/>
                <w:sz w:val="20"/>
                <w:szCs w:val="20"/>
              </w:rPr>
            </w:pPr>
            <w:r w:rsidRPr="00321C0C">
              <w:rPr>
                <w:rFonts w:cs="Times New Roman"/>
                <w:sz w:val="20"/>
                <w:szCs w:val="20"/>
              </w:rPr>
              <w:t>2016</w:t>
            </w:r>
          </w:p>
        </w:tc>
        <w:tc>
          <w:tcPr>
            <w:tcW w:w="709" w:type="dxa"/>
            <w:shd w:val="clear" w:color="auto" w:fill="F2F2F2" w:themeFill="background1" w:themeFillShade="F2"/>
          </w:tcPr>
          <w:p w14:paraId="2D1ED937" w14:textId="77777777" w:rsidR="00321C0C" w:rsidRPr="00321C0C" w:rsidRDefault="00321C0C" w:rsidP="00321C0C">
            <w:pPr>
              <w:spacing w:line="240" w:lineRule="atLeast"/>
              <w:contextualSpacing/>
              <w:jc w:val="both"/>
              <w:rPr>
                <w:rFonts w:cstheme="minorHAnsi"/>
                <w:sz w:val="20"/>
                <w:szCs w:val="20"/>
              </w:rPr>
            </w:pPr>
            <w:r w:rsidRPr="00321C0C">
              <w:rPr>
                <w:rFonts w:cs="Times New Roman"/>
                <w:sz w:val="20"/>
                <w:szCs w:val="20"/>
              </w:rPr>
              <w:t>2017</w:t>
            </w:r>
          </w:p>
        </w:tc>
        <w:tc>
          <w:tcPr>
            <w:tcW w:w="709" w:type="dxa"/>
            <w:shd w:val="clear" w:color="auto" w:fill="F2F2F2" w:themeFill="background1" w:themeFillShade="F2"/>
          </w:tcPr>
          <w:p w14:paraId="137FD12D" w14:textId="77777777" w:rsidR="00321C0C" w:rsidRPr="00321C0C" w:rsidRDefault="00321C0C" w:rsidP="00321C0C">
            <w:pPr>
              <w:spacing w:line="240" w:lineRule="atLeast"/>
              <w:contextualSpacing/>
              <w:jc w:val="both"/>
              <w:rPr>
                <w:rFonts w:cstheme="minorHAnsi"/>
                <w:sz w:val="20"/>
                <w:szCs w:val="20"/>
              </w:rPr>
            </w:pPr>
            <w:r w:rsidRPr="00321C0C">
              <w:rPr>
                <w:rFonts w:cs="Times New Roman"/>
                <w:sz w:val="20"/>
                <w:szCs w:val="20"/>
              </w:rPr>
              <w:t>2018</w:t>
            </w:r>
          </w:p>
        </w:tc>
      </w:tr>
      <w:tr w:rsidR="00321C0C" w:rsidRPr="00321C0C" w14:paraId="470E7AC4" w14:textId="77777777" w:rsidTr="0096628E">
        <w:tc>
          <w:tcPr>
            <w:tcW w:w="1277" w:type="dxa"/>
            <w:shd w:val="clear" w:color="auto" w:fill="F2F2F2" w:themeFill="background1" w:themeFillShade="F2"/>
          </w:tcPr>
          <w:p w14:paraId="6E4BE619" w14:textId="77777777" w:rsidR="00321C0C" w:rsidRPr="00321C0C" w:rsidRDefault="00321C0C" w:rsidP="00321C0C">
            <w:pPr>
              <w:spacing w:line="240" w:lineRule="atLeast"/>
              <w:contextualSpacing/>
              <w:jc w:val="both"/>
              <w:rPr>
                <w:rFonts w:cstheme="minorHAnsi"/>
                <w:b/>
                <w:sz w:val="20"/>
                <w:szCs w:val="20"/>
                <w:u w:val="single"/>
              </w:rPr>
            </w:pPr>
          </w:p>
        </w:tc>
        <w:tc>
          <w:tcPr>
            <w:tcW w:w="1701" w:type="dxa"/>
            <w:shd w:val="clear" w:color="auto" w:fill="F2F2F2" w:themeFill="background1" w:themeFillShade="F2"/>
          </w:tcPr>
          <w:p w14:paraId="70C750E1" w14:textId="77777777" w:rsidR="00321C0C" w:rsidRPr="00321C0C" w:rsidRDefault="00321C0C" w:rsidP="00321C0C">
            <w:pPr>
              <w:spacing w:line="240" w:lineRule="atLeast"/>
              <w:contextualSpacing/>
              <w:jc w:val="both"/>
              <w:rPr>
                <w:rFonts w:cstheme="minorHAnsi"/>
                <w:b/>
                <w:sz w:val="20"/>
                <w:szCs w:val="20"/>
                <w:u w:val="single"/>
              </w:rPr>
            </w:pPr>
          </w:p>
        </w:tc>
        <w:tc>
          <w:tcPr>
            <w:tcW w:w="4252" w:type="dxa"/>
            <w:shd w:val="clear" w:color="auto" w:fill="F2F2F2" w:themeFill="background1" w:themeFillShade="F2"/>
          </w:tcPr>
          <w:p w14:paraId="2976B50F"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4A0CDAE3"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6A361985" w14:textId="77777777" w:rsidR="00321C0C" w:rsidRPr="00321C0C" w:rsidRDefault="00321C0C" w:rsidP="00321C0C">
            <w:pPr>
              <w:spacing w:line="240" w:lineRule="atLeast"/>
              <w:contextualSpacing/>
              <w:jc w:val="both"/>
              <w:rPr>
                <w:rFonts w:cstheme="minorHAnsi"/>
                <w:b/>
                <w:sz w:val="20"/>
                <w:szCs w:val="20"/>
                <w:u w:val="single"/>
              </w:rPr>
            </w:pPr>
          </w:p>
        </w:tc>
        <w:tc>
          <w:tcPr>
            <w:tcW w:w="708" w:type="dxa"/>
            <w:shd w:val="clear" w:color="auto" w:fill="F2F2F2" w:themeFill="background1" w:themeFillShade="F2"/>
          </w:tcPr>
          <w:p w14:paraId="387DE21A"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5057D0AB"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53ED0610" w14:textId="77777777" w:rsidR="00321C0C" w:rsidRPr="00321C0C" w:rsidRDefault="00321C0C" w:rsidP="00321C0C">
            <w:pPr>
              <w:spacing w:line="240" w:lineRule="atLeast"/>
              <w:contextualSpacing/>
              <w:jc w:val="both"/>
              <w:rPr>
                <w:rFonts w:cstheme="minorHAnsi"/>
                <w:b/>
                <w:sz w:val="20"/>
                <w:szCs w:val="20"/>
                <w:u w:val="single"/>
              </w:rPr>
            </w:pPr>
          </w:p>
        </w:tc>
      </w:tr>
      <w:tr w:rsidR="00321C0C" w:rsidRPr="00321C0C" w14:paraId="24347D28" w14:textId="77777777" w:rsidTr="0096628E">
        <w:tc>
          <w:tcPr>
            <w:tcW w:w="1277" w:type="dxa"/>
            <w:shd w:val="clear" w:color="auto" w:fill="F2F2F2" w:themeFill="background1" w:themeFillShade="F2"/>
          </w:tcPr>
          <w:p w14:paraId="11887AB6" w14:textId="77777777" w:rsidR="00321C0C" w:rsidRPr="00321C0C" w:rsidRDefault="00321C0C" w:rsidP="00321C0C">
            <w:pPr>
              <w:spacing w:line="240" w:lineRule="atLeast"/>
              <w:contextualSpacing/>
              <w:jc w:val="both"/>
              <w:rPr>
                <w:rFonts w:cstheme="minorHAnsi"/>
                <w:b/>
                <w:sz w:val="20"/>
                <w:szCs w:val="20"/>
                <w:u w:val="single"/>
              </w:rPr>
            </w:pPr>
          </w:p>
        </w:tc>
        <w:tc>
          <w:tcPr>
            <w:tcW w:w="1701" w:type="dxa"/>
            <w:shd w:val="clear" w:color="auto" w:fill="F2F2F2" w:themeFill="background1" w:themeFillShade="F2"/>
          </w:tcPr>
          <w:p w14:paraId="3BD852DD" w14:textId="77777777" w:rsidR="00321C0C" w:rsidRPr="00321C0C" w:rsidRDefault="00321C0C" w:rsidP="00321C0C">
            <w:pPr>
              <w:spacing w:line="240" w:lineRule="atLeast"/>
              <w:contextualSpacing/>
              <w:jc w:val="both"/>
              <w:rPr>
                <w:rFonts w:cstheme="minorHAnsi"/>
                <w:b/>
                <w:sz w:val="20"/>
                <w:szCs w:val="20"/>
                <w:u w:val="single"/>
              </w:rPr>
            </w:pPr>
          </w:p>
        </w:tc>
        <w:tc>
          <w:tcPr>
            <w:tcW w:w="4252" w:type="dxa"/>
            <w:shd w:val="clear" w:color="auto" w:fill="F2F2F2" w:themeFill="background1" w:themeFillShade="F2"/>
          </w:tcPr>
          <w:p w14:paraId="74EFAB58"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298D3E9D"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2AA7D964" w14:textId="77777777" w:rsidR="00321C0C" w:rsidRPr="00321C0C" w:rsidRDefault="00321C0C" w:rsidP="00321C0C">
            <w:pPr>
              <w:spacing w:line="240" w:lineRule="atLeast"/>
              <w:contextualSpacing/>
              <w:jc w:val="both"/>
              <w:rPr>
                <w:rFonts w:cstheme="minorHAnsi"/>
                <w:b/>
                <w:sz w:val="20"/>
                <w:szCs w:val="20"/>
                <w:u w:val="single"/>
              </w:rPr>
            </w:pPr>
          </w:p>
        </w:tc>
        <w:tc>
          <w:tcPr>
            <w:tcW w:w="708" w:type="dxa"/>
            <w:shd w:val="clear" w:color="auto" w:fill="F2F2F2" w:themeFill="background1" w:themeFillShade="F2"/>
          </w:tcPr>
          <w:p w14:paraId="044B8854"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60B9BE6E"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50CB597A" w14:textId="77777777" w:rsidR="00321C0C" w:rsidRPr="00321C0C" w:rsidRDefault="00321C0C" w:rsidP="00321C0C">
            <w:pPr>
              <w:spacing w:line="240" w:lineRule="atLeast"/>
              <w:contextualSpacing/>
              <w:jc w:val="both"/>
              <w:rPr>
                <w:rFonts w:cstheme="minorHAnsi"/>
                <w:b/>
                <w:sz w:val="20"/>
                <w:szCs w:val="20"/>
                <w:u w:val="single"/>
              </w:rPr>
            </w:pPr>
          </w:p>
        </w:tc>
      </w:tr>
      <w:tr w:rsidR="00321C0C" w:rsidRPr="00321C0C" w14:paraId="1D69A4B2" w14:textId="77777777" w:rsidTr="0096628E">
        <w:tc>
          <w:tcPr>
            <w:tcW w:w="7230" w:type="dxa"/>
            <w:gridSpan w:val="3"/>
            <w:shd w:val="clear" w:color="auto" w:fill="F2F2F2" w:themeFill="background1" w:themeFillShade="F2"/>
          </w:tcPr>
          <w:p w14:paraId="0CB22739"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Celkem</w:t>
            </w:r>
          </w:p>
        </w:tc>
        <w:tc>
          <w:tcPr>
            <w:tcW w:w="709" w:type="dxa"/>
            <w:shd w:val="clear" w:color="auto" w:fill="F2F2F2" w:themeFill="background1" w:themeFillShade="F2"/>
          </w:tcPr>
          <w:p w14:paraId="29977852"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32EFA7A0" w14:textId="77777777" w:rsidR="00321C0C" w:rsidRPr="00321C0C" w:rsidRDefault="00321C0C" w:rsidP="00321C0C">
            <w:pPr>
              <w:spacing w:line="240" w:lineRule="atLeast"/>
              <w:contextualSpacing/>
              <w:jc w:val="both"/>
              <w:rPr>
                <w:rFonts w:cstheme="minorHAnsi"/>
                <w:b/>
                <w:sz w:val="20"/>
                <w:szCs w:val="20"/>
                <w:u w:val="single"/>
              </w:rPr>
            </w:pPr>
          </w:p>
        </w:tc>
        <w:tc>
          <w:tcPr>
            <w:tcW w:w="708" w:type="dxa"/>
            <w:shd w:val="clear" w:color="auto" w:fill="F2F2F2" w:themeFill="background1" w:themeFillShade="F2"/>
          </w:tcPr>
          <w:p w14:paraId="2EFE63B1"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70434A79"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608D079B" w14:textId="77777777" w:rsidR="00321C0C" w:rsidRPr="00321C0C" w:rsidRDefault="00321C0C" w:rsidP="00321C0C">
            <w:pPr>
              <w:spacing w:line="240" w:lineRule="atLeast"/>
              <w:contextualSpacing/>
              <w:jc w:val="both"/>
              <w:rPr>
                <w:rFonts w:cstheme="minorHAnsi"/>
                <w:b/>
                <w:sz w:val="20"/>
                <w:szCs w:val="20"/>
                <w:u w:val="single"/>
              </w:rPr>
            </w:pPr>
          </w:p>
        </w:tc>
      </w:tr>
      <w:tr w:rsidR="00321C0C" w:rsidRPr="00321C0C" w14:paraId="43F62B9E" w14:textId="77777777" w:rsidTr="0096628E">
        <w:tc>
          <w:tcPr>
            <w:tcW w:w="10774" w:type="dxa"/>
            <w:gridSpan w:val="8"/>
            <w:shd w:val="clear" w:color="auto" w:fill="F2F2F2" w:themeFill="background1" w:themeFillShade="F2"/>
          </w:tcPr>
          <w:p w14:paraId="78DFFCE7"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V roli dalšího účastníka</w:t>
            </w:r>
          </w:p>
        </w:tc>
      </w:tr>
      <w:tr w:rsidR="00321C0C" w:rsidRPr="00321C0C" w14:paraId="3DDFC934" w14:textId="77777777" w:rsidTr="0096628E">
        <w:tc>
          <w:tcPr>
            <w:tcW w:w="1277" w:type="dxa"/>
            <w:vMerge w:val="restart"/>
            <w:shd w:val="clear" w:color="auto" w:fill="F2F2F2" w:themeFill="background1" w:themeFillShade="F2"/>
          </w:tcPr>
          <w:p w14:paraId="55F4366C"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Poskytovatel/Investor</w:t>
            </w:r>
          </w:p>
        </w:tc>
        <w:tc>
          <w:tcPr>
            <w:tcW w:w="1701" w:type="dxa"/>
            <w:vMerge w:val="restart"/>
            <w:shd w:val="clear" w:color="auto" w:fill="F2F2F2" w:themeFill="background1" w:themeFillShade="F2"/>
          </w:tcPr>
          <w:p w14:paraId="14D8A7E7"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Program/Dotační schéma</w:t>
            </w:r>
          </w:p>
        </w:tc>
        <w:tc>
          <w:tcPr>
            <w:tcW w:w="4252" w:type="dxa"/>
            <w:vMerge w:val="restart"/>
            <w:shd w:val="clear" w:color="auto" w:fill="F2F2F2" w:themeFill="background1" w:themeFillShade="F2"/>
          </w:tcPr>
          <w:p w14:paraId="56ADF427"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Název projektu</w:t>
            </w:r>
          </w:p>
        </w:tc>
        <w:tc>
          <w:tcPr>
            <w:tcW w:w="3544" w:type="dxa"/>
            <w:gridSpan w:val="5"/>
            <w:shd w:val="clear" w:color="auto" w:fill="F2F2F2" w:themeFill="background1" w:themeFillShade="F2"/>
          </w:tcPr>
          <w:p w14:paraId="6A7C4E96"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Podpora (v tis. Kč)</w:t>
            </w:r>
          </w:p>
        </w:tc>
      </w:tr>
      <w:tr w:rsidR="00321C0C" w:rsidRPr="00321C0C" w14:paraId="6C3BE36A" w14:textId="77777777" w:rsidTr="0096628E">
        <w:tc>
          <w:tcPr>
            <w:tcW w:w="1277" w:type="dxa"/>
            <w:vMerge/>
            <w:shd w:val="clear" w:color="auto" w:fill="F2F2F2" w:themeFill="background1" w:themeFillShade="F2"/>
          </w:tcPr>
          <w:p w14:paraId="4D369B45" w14:textId="77777777" w:rsidR="00321C0C" w:rsidRPr="00321C0C" w:rsidRDefault="00321C0C" w:rsidP="00321C0C">
            <w:pPr>
              <w:spacing w:line="240" w:lineRule="atLeast"/>
              <w:contextualSpacing/>
              <w:jc w:val="both"/>
              <w:rPr>
                <w:rFonts w:cstheme="minorHAnsi"/>
                <w:b/>
                <w:sz w:val="20"/>
                <w:szCs w:val="20"/>
                <w:u w:val="single"/>
              </w:rPr>
            </w:pPr>
          </w:p>
        </w:tc>
        <w:tc>
          <w:tcPr>
            <w:tcW w:w="1701" w:type="dxa"/>
            <w:vMerge/>
            <w:shd w:val="clear" w:color="auto" w:fill="F2F2F2" w:themeFill="background1" w:themeFillShade="F2"/>
          </w:tcPr>
          <w:p w14:paraId="42EF7591" w14:textId="77777777" w:rsidR="00321C0C" w:rsidRPr="00321C0C" w:rsidRDefault="00321C0C" w:rsidP="00321C0C">
            <w:pPr>
              <w:spacing w:line="240" w:lineRule="atLeast"/>
              <w:contextualSpacing/>
              <w:jc w:val="both"/>
              <w:rPr>
                <w:rFonts w:cstheme="minorHAnsi"/>
                <w:b/>
                <w:sz w:val="20"/>
                <w:szCs w:val="20"/>
                <w:u w:val="single"/>
              </w:rPr>
            </w:pPr>
          </w:p>
        </w:tc>
        <w:tc>
          <w:tcPr>
            <w:tcW w:w="4252" w:type="dxa"/>
            <w:vMerge/>
            <w:shd w:val="clear" w:color="auto" w:fill="F2F2F2" w:themeFill="background1" w:themeFillShade="F2"/>
          </w:tcPr>
          <w:p w14:paraId="777E0ACC"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39712D1F" w14:textId="77777777" w:rsidR="00321C0C" w:rsidRPr="00321C0C" w:rsidRDefault="00321C0C" w:rsidP="00321C0C">
            <w:pPr>
              <w:spacing w:line="240" w:lineRule="atLeast"/>
              <w:contextualSpacing/>
              <w:jc w:val="both"/>
              <w:rPr>
                <w:rFonts w:cstheme="minorHAnsi"/>
                <w:sz w:val="20"/>
                <w:szCs w:val="20"/>
              </w:rPr>
            </w:pPr>
            <w:r w:rsidRPr="00321C0C">
              <w:rPr>
                <w:rFonts w:cs="Times New Roman"/>
                <w:sz w:val="20"/>
                <w:szCs w:val="20"/>
              </w:rPr>
              <w:t>2014</w:t>
            </w:r>
          </w:p>
        </w:tc>
        <w:tc>
          <w:tcPr>
            <w:tcW w:w="709" w:type="dxa"/>
            <w:shd w:val="clear" w:color="auto" w:fill="F2F2F2" w:themeFill="background1" w:themeFillShade="F2"/>
          </w:tcPr>
          <w:p w14:paraId="45DCBF39" w14:textId="77777777" w:rsidR="00321C0C" w:rsidRPr="00321C0C" w:rsidRDefault="00321C0C" w:rsidP="00321C0C">
            <w:pPr>
              <w:spacing w:line="240" w:lineRule="atLeast"/>
              <w:contextualSpacing/>
              <w:jc w:val="both"/>
              <w:rPr>
                <w:rFonts w:cstheme="minorHAnsi"/>
                <w:sz w:val="20"/>
                <w:szCs w:val="20"/>
              </w:rPr>
            </w:pPr>
            <w:r w:rsidRPr="00321C0C">
              <w:rPr>
                <w:rFonts w:cs="Times New Roman"/>
                <w:sz w:val="20"/>
                <w:szCs w:val="20"/>
              </w:rPr>
              <w:t>2015</w:t>
            </w:r>
          </w:p>
        </w:tc>
        <w:tc>
          <w:tcPr>
            <w:tcW w:w="708" w:type="dxa"/>
            <w:shd w:val="clear" w:color="auto" w:fill="F2F2F2" w:themeFill="background1" w:themeFillShade="F2"/>
          </w:tcPr>
          <w:p w14:paraId="40A0DA0E" w14:textId="77777777" w:rsidR="00321C0C" w:rsidRPr="00321C0C" w:rsidRDefault="00321C0C" w:rsidP="00321C0C">
            <w:pPr>
              <w:spacing w:line="240" w:lineRule="atLeast"/>
              <w:contextualSpacing/>
              <w:jc w:val="both"/>
              <w:rPr>
                <w:rFonts w:cstheme="minorHAnsi"/>
                <w:sz w:val="20"/>
                <w:szCs w:val="20"/>
              </w:rPr>
            </w:pPr>
            <w:r w:rsidRPr="00321C0C">
              <w:rPr>
                <w:rFonts w:cs="Times New Roman"/>
                <w:sz w:val="20"/>
                <w:szCs w:val="20"/>
              </w:rPr>
              <w:t>2016</w:t>
            </w:r>
          </w:p>
        </w:tc>
        <w:tc>
          <w:tcPr>
            <w:tcW w:w="709" w:type="dxa"/>
            <w:shd w:val="clear" w:color="auto" w:fill="F2F2F2" w:themeFill="background1" w:themeFillShade="F2"/>
          </w:tcPr>
          <w:p w14:paraId="75DA1796" w14:textId="77777777" w:rsidR="00321C0C" w:rsidRPr="00321C0C" w:rsidRDefault="00321C0C" w:rsidP="00321C0C">
            <w:pPr>
              <w:spacing w:line="240" w:lineRule="atLeast"/>
              <w:contextualSpacing/>
              <w:jc w:val="both"/>
              <w:rPr>
                <w:rFonts w:cstheme="minorHAnsi"/>
                <w:sz w:val="20"/>
                <w:szCs w:val="20"/>
              </w:rPr>
            </w:pPr>
            <w:r w:rsidRPr="00321C0C">
              <w:rPr>
                <w:rFonts w:cs="Times New Roman"/>
                <w:sz w:val="20"/>
                <w:szCs w:val="20"/>
              </w:rPr>
              <w:t>2017</w:t>
            </w:r>
          </w:p>
        </w:tc>
        <w:tc>
          <w:tcPr>
            <w:tcW w:w="709" w:type="dxa"/>
            <w:shd w:val="clear" w:color="auto" w:fill="F2F2F2" w:themeFill="background1" w:themeFillShade="F2"/>
          </w:tcPr>
          <w:p w14:paraId="4AC7C0CA" w14:textId="77777777" w:rsidR="00321C0C" w:rsidRPr="00321C0C" w:rsidRDefault="00321C0C" w:rsidP="00321C0C">
            <w:pPr>
              <w:spacing w:line="240" w:lineRule="atLeast"/>
              <w:contextualSpacing/>
              <w:jc w:val="both"/>
              <w:rPr>
                <w:rFonts w:cstheme="minorHAnsi"/>
                <w:sz w:val="20"/>
                <w:szCs w:val="20"/>
              </w:rPr>
            </w:pPr>
            <w:r w:rsidRPr="00321C0C">
              <w:rPr>
                <w:rFonts w:cs="Times New Roman"/>
                <w:sz w:val="20"/>
                <w:szCs w:val="20"/>
              </w:rPr>
              <w:t>2018</w:t>
            </w:r>
          </w:p>
        </w:tc>
      </w:tr>
      <w:tr w:rsidR="00321C0C" w:rsidRPr="00321C0C" w14:paraId="354B400E" w14:textId="77777777" w:rsidTr="0096628E">
        <w:tc>
          <w:tcPr>
            <w:tcW w:w="1277" w:type="dxa"/>
            <w:shd w:val="clear" w:color="auto" w:fill="F2F2F2" w:themeFill="background1" w:themeFillShade="F2"/>
          </w:tcPr>
          <w:p w14:paraId="50905823" w14:textId="77777777" w:rsidR="00321C0C" w:rsidRPr="00321C0C" w:rsidRDefault="00321C0C" w:rsidP="00321C0C">
            <w:pPr>
              <w:spacing w:line="240" w:lineRule="atLeast"/>
              <w:contextualSpacing/>
              <w:jc w:val="both"/>
              <w:rPr>
                <w:rFonts w:cstheme="minorHAnsi"/>
                <w:b/>
                <w:sz w:val="20"/>
                <w:szCs w:val="20"/>
                <w:u w:val="single"/>
              </w:rPr>
            </w:pPr>
          </w:p>
        </w:tc>
        <w:tc>
          <w:tcPr>
            <w:tcW w:w="1701" w:type="dxa"/>
            <w:shd w:val="clear" w:color="auto" w:fill="F2F2F2" w:themeFill="background1" w:themeFillShade="F2"/>
          </w:tcPr>
          <w:p w14:paraId="4C920FA7" w14:textId="77777777" w:rsidR="00321C0C" w:rsidRPr="00321C0C" w:rsidRDefault="00321C0C" w:rsidP="00321C0C">
            <w:pPr>
              <w:spacing w:line="240" w:lineRule="atLeast"/>
              <w:contextualSpacing/>
              <w:jc w:val="both"/>
              <w:rPr>
                <w:rFonts w:cstheme="minorHAnsi"/>
                <w:b/>
                <w:sz w:val="20"/>
                <w:szCs w:val="20"/>
                <w:u w:val="single"/>
              </w:rPr>
            </w:pPr>
          </w:p>
        </w:tc>
        <w:tc>
          <w:tcPr>
            <w:tcW w:w="4252" w:type="dxa"/>
            <w:shd w:val="clear" w:color="auto" w:fill="F2F2F2" w:themeFill="background1" w:themeFillShade="F2"/>
          </w:tcPr>
          <w:p w14:paraId="1A6F6AD0"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3F616BAE"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176CBBF1" w14:textId="77777777" w:rsidR="00321C0C" w:rsidRPr="00321C0C" w:rsidRDefault="00321C0C" w:rsidP="00321C0C">
            <w:pPr>
              <w:spacing w:line="240" w:lineRule="atLeast"/>
              <w:contextualSpacing/>
              <w:jc w:val="both"/>
              <w:rPr>
                <w:rFonts w:cstheme="minorHAnsi"/>
                <w:b/>
                <w:sz w:val="20"/>
                <w:szCs w:val="20"/>
                <w:u w:val="single"/>
              </w:rPr>
            </w:pPr>
          </w:p>
        </w:tc>
        <w:tc>
          <w:tcPr>
            <w:tcW w:w="708" w:type="dxa"/>
            <w:shd w:val="clear" w:color="auto" w:fill="F2F2F2" w:themeFill="background1" w:themeFillShade="F2"/>
          </w:tcPr>
          <w:p w14:paraId="4172DC33"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6E766D96"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50570442" w14:textId="77777777" w:rsidR="00321C0C" w:rsidRPr="00321C0C" w:rsidRDefault="00321C0C" w:rsidP="00321C0C">
            <w:pPr>
              <w:spacing w:line="240" w:lineRule="atLeast"/>
              <w:contextualSpacing/>
              <w:jc w:val="both"/>
              <w:rPr>
                <w:rFonts w:cstheme="minorHAnsi"/>
                <w:b/>
                <w:sz w:val="20"/>
                <w:szCs w:val="20"/>
                <w:u w:val="single"/>
              </w:rPr>
            </w:pPr>
          </w:p>
        </w:tc>
      </w:tr>
      <w:tr w:rsidR="00321C0C" w:rsidRPr="00321C0C" w14:paraId="06E75994" w14:textId="77777777" w:rsidTr="0096628E">
        <w:tc>
          <w:tcPr>
            <w:tcW w:w="1277" w:type="dxa"/>
            <w:shd w:val="clear" w:color="auto" w:fill="F2F2F2" w:themeFill="background1" w:themeFillShade="F2"/>
          </w:tcPr>
          <w:p w14:paraId="22E51807" w14:textId="77777777" w:rsidR="00321C0C" w:rsidRPr="00321C0C" w:rsidRDefault="00321C0C" w:rsidP="00321C0C">
            <w:pPr>
              <w:spacing w:line="240" w:lineRule="atLeast"/>
              <w:contextualSpacing/>
              <w:jc w:val="both"/>
              <w:rPr>
                <w:rFonts w:cstheme="minorHAnsi"/>
                <w:b/>
                <w:sz w:val="20"/>
                <w:szCs w:val="20"/>
                <w:u w:val="single"/>
              </w:rPr>
            </w:pPr>
          </w:p>
        </w:tc>
        <w:tc>
          <w:tcPr>
            <w:tcW w:w="1701" w:type="dxa"/>
            <w:shd w:val="clear" w:color="auto" w:fill="F2F2F2" w:themeFill="background1" w:themeFillShade="F2"/>
          </w:tcPr>
          <w:p w14:paraId="49D78E32" w14:textId="77777777" w:rsidR="00321C0C" w:rsidRPr="00321C0C" w:rsidRDefault="00321C0C" w:rsidP="00321C0C">
            <w:pPr>
              <w:spacing w:line="240" w:lineRule="atLeast"/>
              <w:contextualSpacing/>
              <w:jc w:val="both"/>
              <w:rPr>
                <w:rFonts w:cstheme="minorHAnsi"/>
                <w:b/>
                <w:sz w:val="20"/>
                <w:szCs w:val="20"/>
                <w:u w:val="single"/>
              </w:rPr>
            </w:pPr>
          </w:p>
        </w:tc>
        <w:tc>
          <w:tcPr>
            <w:tcW w:w="4252" w:type="dxa"/>
            <w:shd w:val="clear" w:color="auto" w:fill="F2F2F2" w:themeFill="background1" w:themeFillShade="F2"/>
          </w:tcPr>
          <w:p w14:paraId="6D770335"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09C2E971"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158237CB" w14:textId="77777777" w:rsidR="00321C0C" w:rsidRPr="00321C0C" w:rsidRDefault="00321C0C" w:rsidP="00321C0C">
            <w:pPr>
              <w:spacing w:line="240" w:lineRule="atLeast"/>
              <w:contextualSpacing/>
              <w:jc w:val="both"/>
              <w:rPr>
                <w:rFonts w:cstheme="minorHAnsi"/>
                <w:b/>
                <w:sz w:val="20"/>
                <w:szCs w:val="20"/>
                <w:u w:val="single"/>
              </w:rPr>
            </w:pPr>
          </w:p>
        </w:tc>
        <w:tc>
          <w:tcPr>
            <w:tcW w:w="708" w:type="dxa"/>
            <w:shd w:val="clear" w:color="auto" w:fill="F2F2F2" w:themeFill="background1" w:themeFillShade="F2"/>
          </w:tcPr>
          <w:p w14:paraId="3FA332E0"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72E383D4"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1D454EA9" w14:textId="77777777" w:rsidR="00321C0C" w:rsidRPr="00321C0C" w:rsidRDefault="00321C0C" w:rsidP="00321C0C">
            <w:pPr>
              <w:spacing w:line="240" w:lineRule="atLeast"/>
              <w:contextualSpacing/>
              <w:jc w:val="both"/>
              <w:rPr>
                <w:rFonts w:cstheme="minorHAnsi"/>
                <w:b/>
                <w:sz w:val="20"/>
                <w:szCs w:val="20"/>
                <w:u w:val="single"/>
              </w:rPr>
            </w:pPr>
          </w:p>
        </w:tc>
      </w:tr>
      <w:tr w:rsidR="00321C0C" w:rsidRPr="00321C0C" w14:paraId="1702BB74" w14:textId="77777777" w:rsidTr="0096628E">
        <w:tc>
          <w:tcPr>
            <w:tcW w:w="7230" w:type="dxa"/>
            <w:gridSpan w:val="3"/>
            <w:shd w:val="clear" w:color="auto" w:fill="F2F2F2" w:themeFill="background1" w:themeFillShade="F2"/>
          </w:tcPr>
          <w:p w14:paraId="74642E5F"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Celkem</w:t>
            </w:r>
          </w:p>
        </w:tc>
        <w:tc>
          <w:tcPr>
            <w:tcW w:w="709" w:type="dxa"/>
            <w:shd w:val="clear" w:color="auto" w:fill="F2F2F2" w:themeFill="background1" w:themeFillShade="F2"/>
          </w:tcPr>
          <w:p w14:paraId="4253E7C6"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27EF7B1C" w14:textId="77777777" w:rsidR="00321C0C" w:rsidRPr="00321C0C" w:rsidRDefault="00321C0C" w:rsidP="00321C0C">
            <w:pPr>
              <w:spacing w:line="240" w:lineRule="atLeast"/>
              <w:contextualSpacing/>
              <w:jc w:val="both"/>
              <w:rPr>
                <w:rFonts w:cstheme="minorHAnsi"/>
                <w:b/>
                <w:sz w:val="20"/>
                <w:szCs w:val="20"/>
                <w:u w:val="single"/>
              </w:rPr>
            </w:pPr>
          </w:p>
        </w:tc>
        <w:tc>
          <w:tcPr>
            <w:tcW w:w="708" w:type="dxa"/>
            <w:shd w:val="clear" w:color="auto" w:fill="F2F2F2" w:themeFill="background1" w:themeFillShade="F2"/>
          </w:tcPr>
          <w:p w14:paraId="2952B565"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65059D76"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2376936E" w14:textId="77777777" w:rsidR="00321C0C" w:rsidRPr="00321C0C" w:rsidRDefault="00321C0C" w:rsidP="00321C0C">
            <w:pPr>
              <w:spacing w:line="240" w:lineRule="atLeast"/>
              <w:contextualSpacing/>
              <w:jc w:val="both"/>
              <w:rPr>
                <w:rFonts w:cstheme="minorHAnsi"/>
                <w:b/>
                <w:sz w:val="20"/>
                <w:szCs w:val="20"/>
                <w:u w:val="single"/>
              </w:rPr>
            </w:pPr>
          </w:p>
        </w:tc>
      </w:tr>
    </w:tbl>
    <w:p w14:paraId="5EDE1879" w14:textId="77777777" w:rsidR="00321C0C" w:rsidRPr="00321C0C" w:rsidRDefault="00321C0C" w:rsidP="00321C0C">
      <w:pPr>
        <w:rPr>
          <w:rFonts w:cstheme="minorHAnsi"/>
          <w:sz w:val="22"/>
          <w:szCs w:val="22"/>
          <w:lang w:val="cs-CZ"/>
        </w:rPr>
      </w:pPr>
    </w:p>
    <w:p w14:paraId="095DB0CD" w14:textId="77777777" w:rsidR="00321C0C" w:rsidRPr="00321C0C" w:rsidRDefault="00321C0C" w:rsidP="00321C0C">
      <w:pPr>
        <w:spacing w:line="240" w:lineRule="atLeast"/>
        <w:jc w:val="both"/>
        <w:rPr>
          <w:rFonts w:cstheme="minorHAnsi"/>
          <w:sz w:val="20"/>
          <w:szCs w:val="20"/>
          <w:lang w:val="cs-CZ"/>
        </w:rPr>
      </w:pPr>
      <w:r w:rsidRPr="00321C0C">
        <w:rPr>
          <w:rFonts w:cs="Times New Roman"/>
          <w:sz w:val="20"/>
          <w:szCs w:val="20"/>
          <w:lang w:val="cs-CZ"/>
        </w:rPr>
        <w:t xml:space="preserve">Pozn.: </w:t>
      </w:r>
      <w:r w:rsidRPr="00321C0C">
        <w:rPr>
          <w:rFonts w:cstheme="minorHAnsi"/>
          <w:sz w:val="20"/>
          <w:szCs w:val="20"/>
          <w:lang w:val="cs-CZ"/>
        </w:rPr>
        <w:t>Uveďte jednotlivě konsorciální projekty financované z rámcových programů EU</w:t>
      </w:r>
      <w:r w:rsidRPr="00321C0C">
        <w:rPr>
          <w:i/>
          <w:sz w:val="22"/>
          <w:szCs w:val="22"/>
          <w:lang w:val="cs-CZ"/>
        </w:rPr>
        <w:t xml:space="preserve"> (</w:t>
      </w:r>
      <w:r w:rsidRPr="00D905E1">
        <w:rPr>
          <w:sz w:val="20"/>
          <w:szCs w:val="20"/>
          <w:lang w:val="cs-CZ"/>
        </w:rPr>
        <w:t>7. RP</w:t>
      </w:r>
      <w:r w:rsidRPr="00D905E1">
        <w:rPr>
          <w:sz w:val="22"/>
          <w:szCs w:val="22"/>
          <w:vertAlign w:val="superscript"/>
          <w:lang w:val="cs-CZ"/>
        </w:rPr>
        <w:footnoteReference w:id="8"/>
      </w:r>
      <w:r w:rsidRPr="00D905E1">
        <w:rPr>
          <w:sz w:val="22"/>
          <w:szCs w:val="22"/>
          <w:lang w:val="cs-CZ"/>
        </w:rPr>
        <w:t xml:space="preserve">, </w:t>
      </w:r>
      <w:r w:rsidRPr="00D905E1">
        <w:rPr>
          <w:rFonts w:cstheme="minorHAnsi"/>
          <w:sz w:val="20"/>
          <w:szCs w:val="20"/>
          <w:lang w:val="cs-CZ"/>
        </w:rPr>
        <w:t>Horizont 2020</w:t>
      </w:r>
      <w:r w:rsidRPr="00D905E1">
        <w:rPr>
          <w:sz w:val="22"/>
          <w:szCs w:val="22"/>
          <w:vertAlign w:val="superscript"/>
          <w:lang w:val="cs-CZ"/>
        </w:rPr>
        <w:footnoteReference w:id="9"/>
      </w:r>
      <w:r w:rsidRPr="00D905E1">
        <w:rPr>
          <w:rFonts w:cstheme="minorHAnsi"/>
          <w:sz w:val="20"/>
          <w:szCs w:val="20"/>
          <w:lang w:val="cs-CZ"/>
        </w:rPr>
        <w:t xml:space="preserve"> - mimo ERC</w:t>
      </w:r>
      <w:r w:rsidRPr="00D905E1">
        <w:rPr>
          <w:sz w:val="22"/>
          <w:szCs w:val="22"/>
          <w:vertAlign w:val="superscript"/>
          <w:lang w:val="cs-CZ"/>
        </w:rPr>
        <w:t xml:space="preserve"> </w:t>
      </w:r>
      <w:r w:rsidRPr="00D905E1">
        <w:rPr>
          <w:rFonts w:cstheme="minorHAnsi"/>
          <w:sz w:val="20"/>
          <w:szCs w:val="20"/>
          <w:lang w:val="cs-CZ"/>
        </w:rPr>
        <w:t>a MSCA, 9. RP</w:t>
      </w:r>
      <w:r w:rsidRPr="00D905E1">
        <w:rPr>
          <w:sz w:val="22"/>
          <w:szCs w:val="22"/>
          <w:vertAlign w:val="superscript"/>
          <w:lang w:val="cs-CZ"/>
        </w:rPr>
        <w:footnoteReference w:id="10"/>
      </w:r>
      <w:r w:rsidRPr="00321C0C">
        <w:rPr>
          <w:i/>
          <w:sz w:val="22"/>
          <w:szCs w:val="22"/>
          <w:vertAlign w:val="superscript"/>
          <w:lang w:val="cs-CZ"/>
        </w:rPr>
        <w:t xml:space="preserve"> </w:t>
      </w:r>
      <w:r w:rsidRPr="00321C0C">
        <w:rPr>
          <w:rFonts w:cstheme="minorHAnsi"/>
          <w:sz w:val="20"/>
          <w:szCs w:val="20"/>
          <w:lang w:val="cs-CZ"/>
        </w:rPr>
        <w:t>atd.) a jejich finanční objem vyjádřený v Kč (u spoluřešitelských projektů uvádějte finanční objemy pro danou vysokou školu), prestižní individuální projekty (ERC, MSCA, HHMI, HFSP atd.) a jejich finanční objem v eurech (pro tuto kategorii projektů lze uvést doplňující informace dle zvážení vysoké školy, např. odborné zaměření, ostatní účastníci projektu, případně další vhodné informace), ostatní konsorciální zahraniční projekty a jejich finanční objem vyjádřený v Kč (HHMI, NIH</w:t>
      </w:r>
      <w:r w:rsidRPr="00321C0C">
        <w:rPr>
          <w:rFonts w:cstheme="minorHAnsi"/>
          <w:sz w:val="20"/>
          <w:szCs w:val="20"/>
          <w:vertAlign w:val="superscript"/>
          <w:lang w:val="cs-CZ"/>
        </w:rPr>
        <w:footnoteReference w:id="11"/>
      </w:r>
      <w:r w:rsidRPr="00321C0C">
        <w:rPr>
          <w:rFonts w:cstheme="minorHAnsi"/>
          <w:sz w:val="20"/>
          <w:szCs w:val="20"/>
          <w:vertAlign w:val="superscript"/>
          <w:lang w:val="cs-CZ"/>
        </w:rPr>
        <w:t xml:space="preserve"> </w:t>
      </w:r>
      <w:r w:rsidRPr="00321C0C">
        <w:rPr>
          <w:rFonts w:cstheme="minorHAnsi"/>
          <w:sz w:val="20"/>
          <w:szCs w:val="20"/>
          <w:lang w:val="cs-CZ"/>
        </w:rPr>
        <w:t xml:space="preserve">, </w:t>
      </w:r>
      <w:proofErr w:type="spellStart"/>
      <w:r w:rsidRPr="00321C0C">
        <w:rPr>
          <w:rFonts w:cstheme="minorHAnsi"/>
          <w:sz w:val="20"/>
          <w:szCs w:val="20"/>
          <w:lang w:val="cs-CZ"/>
        </w:rPr>
        <w:t>Wellcome</w:t>
      </w:r>
      <w:proofErr w:type="spellEnd"/>
      <w:r w:rsidRPr="00321C0C">
        <w:rPr>
          <w:rFonts w:cstheme="minorHAnsi"/>
          <w:sz w:val="20"/>
          <w:szCs w:val="20"/>
          <w:lang w:val="cs-CZ"/>
        </w:rPr>
        <w:t xml:space="preserve"> Trust</w:t>
      </w:r>
      <w:r w:rsidRPr="00321C0C">
        <w:rPr>
          <w:rFonts w:cstheme="minorHAnsi"/>
          <w:sz w:val="20"/>
          <w:szCs w:val="20"/>
          <w:vertAlign w:val="superscript"/>
          <w:lang w:val="cs-CZ"/>
        </w:rPr>
        <w:footnoteReference w:id="12"/>
      </w:r>
      <w:r w:rsidRPr="00321C0C">
        <w:rPr>
          <w:rFonts w:cstheme="minorHAnsi"/>
          <w:sz w:val="20"/>
          <w:szCs w:val="20"/>
          <w:lang w:val="cs-CZ"/>
        </w:rPr>
        <w:t xml:space="preserve"> atd.).</w:t>
      </w:r>
    </w:p>
    <w:p w14:paraId="76B09679" w14:textId="2BCE7A93" w:rsidR="00321C0C" w:rsidRPr="00321C0C" w:rsidRDefault="00321C0C" w:rsidP="00D905E1">
      <w:pPr>
        <w:spacing w:line="240" w:lineRule="atLeast"/>
        <w:jc w:val="both"/>
        <w:rPr>
          <w:rFonts w:cstheme="minorHAnsi"/>
          <w:sz w:val="20"/>
          <w:szCs w:val="20"/>
          <w:lang w:val="cs-CZ"/>
        </w:rPr>
      </w:pPr>
      <w:r w:rsidRPr="00321C0C">
        <w:rPr>
          <w:rFonts w:cstheme="minorHAnsi"/>
          <w:sz w:val="20"/>
          <w:szCs w:val="20"/>
          <w:lang w:val="cs-CZ"/>
        </w:rPr>
        <w:t>U spoluřešitelských projektů uvádějte pouze finanční objemy prostředků pro danou vysokou školu.</w:t>
      </w:r>
    </w:p>
    <w:p w14:paraId="6F89857B" w14:textId="77777777" w:rsidR="00321C0C" w:rsidRPr="00321C0C" w:rsidRDefault="00321C0C" w:rsidP="00321C0C">
      <w:pPr>
        <w:rPr>
          <w:rFonts w:cstheme="minorHAnsi"/>
          <w:sz w:val="22"/>
          <w:szCs w:val="22"/>
          <w:lang w:val="cs-CZ"/>
        </w:rPr>
      </w:pPr>
      <w:r w:rsidRPr="00321C0C">
        <w:rPr>
          <w:rFonts w:cstheme="minorHAnsi"/>
          <w:sz w:val="22"/>
          <w:szCs w:val="22"/>
          <w:lang w:val="cs-CZ"/>
        </w:rPr>
        <w:lastRenderedPageBreak/>
        <w:t>4.19.3 Projekty podporované poskytovatelem z ČR</w:t>
      </w:r>
    </w:p>
    <w:p w14:paraId="09D2C4AF" w14:textId="77777777" w:rsidR="00321C0C" w:rsidRPr="00321C0C" w:rsidRDefault="00321C0C" w:rsidP="00321C0C">
      <w:pPr>
        <w:spacing w:line="240" w:lineRule="atLeast"/>
        <w:jc w:val="both"/>
        <w:rPr>
          <w:rFonts w:ascii="Times New Roman" w:hAnsi="Times New Roman" w:cs="Times New Roman"/>
          <w:b/>
          <w:sz w:val="22"/>
          <w:szCs w:val="22"/>
          <w:u w:val="single"/>
          <w:lang w:val="cs-CZ"/>
        </w:rPr>
      </w:pPr>
    </w:p>
    <w:tbl>
      <w:tblPr>
        <w:tblStyle w:val="Mkatabulky2"/>
        <w:tblW w:w="10774" w:type="dxa"/>
        <w:tblInd w:w="-856" w:type="dxa"/>
        <w:shd w:val="clear" w:color="auto" w:fill="F2F2F2" w:themeFill="background1" w:themeFillShade="F2"/>
        <w:tblLayout w:type="fixed"/>
        <w:tblLook w:val="04A0" w:firstRow="1" w:lastRow="0" w:firstColumn="1" w:lastColumn="0" w:noHBand="0" w:noVBand="1"/>
      </w:tblPr>
      <w:tblGrid>
        <w:gridCol w:w="1277"/>
        <w:gridCol w:w="1701"/>
        <w:gridCol w:w="4252"/>
        <w:gridCol w:w="709"/>
        <w:gridCol w:w="709"/>
        <w:gridCol w:w="708"/>
        <w:gridCol w:w="709"/>
        <w:gridCol w:w="709"/>
      </w:tblGrid>
      <w:tr w:rsidR="00321C0C" w:rsidRPr="00321C0C" w14:paraId="4EF225FA" w14:textId="77777777" w:rsidTr="0096628E">
        <w:tc>
          <w:tcPr>
            <w:tcW w:w="10774" w:type="dxa"/>
            <w:gridSpan w:val="8"/>
            <w:shd w:val="clear" w:color="auto" w:fill="F2F2F2" w:themeFill="background1" w:themeFillShade="F2"/>
          </w:tcPr>
          <w:p w14:paraId="75D030EF"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V roli příjemce</w:t>
            </w:r>
          </w:p>
        </w:tc>
      </w:tr>
      <w:tr w:rsidR="00321C0C" w:rsidRPr="00321C0C" w14:paraId="4A32A1FF" w14:textId="77777777" w:rsidTr="0096628E">
        <w:tc>
          <w:tcPr>
            <w:tcW w:w="1277" w:type="dxa"/>
            <w:vMerge w:val="restart"/>
            <w:shd w:val="clear" w:color="auto" w:fill="F2F2F2" w:themeFill="background1" w:themeFillShade="F2"/>
          </w:tcPr>
          <w:p w14:paraId="3AA7CA0D"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Poskytovatel /Investor</w:t>
            </w:r>
          </w:p>
        </w:tc>
        <w:tc>
          <w:tcPr>
            <w:tcW w:w="1701" w:type="dxa"/>
            <w:vMerge w:val="restart"/>
            <w:shd w:val="clear" w:color="auto" w:fill="F2F2F2" w:themeFill="background1" w:themeFillShade="F2"/>
          </w:tcPr>
          <w:p w14:paraId="51FF3395"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Program/Dotační schéma</w:t>
            </w:r>
          </w:p>
        </w:tc>
        <w:tc>
          <w:tcPr>
            <w:tcW w:w="4252" w:type="dxa"/>
            <w:vMerge w:val="restart"/>
            <w:shd w:val="clear" w:color="auto" w:fill="F2F2F2" w:themeFill="background1" w:themeFillShade="F2"/>
          </w:tcPr>
          <w:p w14:paraId="466AB352"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Název projektu</w:t>
            </w:r>
          </w:p>
        </w:tc>
        <w:tc>
          <w:tcPr>
            <w:tcW w:w="3544" w:type="dxa"/>
            <w:gridSpan w:val="5"/>
            <w:shd w:val="clear" w:color="auto" w:fill="F2F2F2" w:themeFill="background1" w:themeFillShade="F2"/>
          </w:tcPr>
          <w:p w14:paraId="066E229D"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Podpora (v tis. Kč)</w:t>
            </w:r>
          </w:p>
        </w:tc>
      </w:tr>
      <w:tr w:rsidR="00321C0C" w:rsidRPr="00321C0C" w14:paraId="166B6638" w14:textId="77777777" w:rsidTr="0096628E">
        <w:tc>
          <w:tcPr>
            <w:tcW w:w="1277" w:type="dxa"/>
            <w:vMerge/>
            <w:shd w:val="clear" w:color="auto" w:fill="F2F2F2" w:themeFill="background1" w:themeFillShade="F2"/>
          </w:tcPr>
          <w:p w14:paraId="137D9FFC" w14:textId="77777777" w:rsidR="00321C0C" w:rsidRPr="00321C0C" w:rsidRDefault="00321C0C" w:rsidP="00321C0C">
            <w:pPr>
              <w:spacing w:line="240" w:lineRule="atLeast"/>
              <w:contextualSpacing/>
              <w:jc w:val="both"/>
              <w:rPr>
                <w:rFonts w:cstheme="minorHAnsi"/>
                <w:b/>
                <w:sz w:val="20"/>
                <w:szCs w:val="20"/>
                <w:u w:val="single"/>
              </w:rPr>
            </w:pPr>
          </w:p>
        </w:tc>
        <w:tc>
          <w:tcPr>
            <w:tcW w:w="1701" w:type="dxa"/>
            <w:vMerge/>
            <w:shd w:val="clear" w:color="auto" w:fill="F2F2F2" w:themeFill="background1" w:themeFillShade="F2"/>
          </w:tcPr>
          <w:p w14:paraId="556F530C" w14:textId="77777777" w:rsidR="00321C0C" w:rsidRPr="00321C0C" w:rsidRDefault="00321C0C" w:rsidP="00321C0C">
            <w:pPr>
              <w:spacing w:line="240" w:lineRule="atLeast"/>
              <w:contextualSpacing/>
              <w:jc w:val="both"/>
              <w:rPr>
                <w:rFonts w:cstheme="minorHAnsi"/>
                <w:sz w:val="20"/>
                <w:szCs w:val="20"/>
              </w:rPr>
            </w:pPr>
          </w:p>
        </w:tc>
        <w:tc>
          <w:tcPr>
            <w:tcW w:w="4252" w:type="dxa"/>
            <w:vMerge/>
            <w:shd w:val="clear" w:color="auto" w:fill="F2F2F2" w:themeFill="background1" w:themeFillShade="F2"/>
          </w:tcPr>
          <w:p w14:paraId="2AD1DEA9" w14:textId="77777777" w:rsidR="00321C0C" w:rsidRPr="00321C0C" w:rsidRDefault="00321C0C" w:rsidP="00321C0C">
            <w:pPr>
              <w:spacing w:line="240" w:lineRule="atLeast"/>
              <w:contextualSpacing/>
              <w:jc w:val="both"/>
              <w:rPr>
                <w:rFonts w:cstheme="minorHAnsi"/>
                <w:sz w:val="20"/>
                <w:szCs w:val="20"/>
              </w:rPr>
            </w:pPr>
          </w:p>
        </w:tc>
        <w:tc>
          <w:tcPr>
            <w:tcW w:w="709" w:type="dxa"/>
            <w:shd w:val="clear" w:color="auto" w:fill="F2F2F2" w:themeFill="background1" w:themeFillShade="F2"/>
          </w:tcPr>
          <w:p w14:paraId="5057B111" w14:textId="77777777" w:rsidR="00321C0C" w:rsidRPr="00321C0C" w:rsidRDefault="00321C0C" w:rsidP="00321C0C">
            <w:pPr>
              <w:spacing w:line="240" w:lineRule="atLeast"/>
              <w:contextualSpacing/>
              <w:jc w:val="both"/>
              <w:rPr>
                <w:rFonts w:cstheme="minorHAnsi"/>
                <w:sz w:val="20"/>
                <w:szCs w:val="20"/>
              </w:rPr>
            </w:pPr>
            <w:r w:rsidRPr="00321C0C">
              <w:rPr>
                <w:rFonts w:cs="Times New Roman"/>
                <w:sz w:val="20"/>
                <w:szCs w:val="20"/>
              </w:rPr>
              <w:t>2014</w:t>
            </w:r>
          </w:p>
        </w:tc>
        <w:tc>
          <w:tcPr>
            <w:tcW w:w="709" w:type="dxa"/>
            <w:shd w:val="clear" w:color="auto" w:fill="F2F2F2" w:themeFill="background1" w:themeFillShade="F2"/>
          </w:tcPr>
          <w:p w14:paraId="4F30B171" w14:textId="77777777" w:rsidR="00321C0C" w:rsidRPr="00321C0C" w:rsidRDefault="00321C0C" w:rsidP="00321C0C">
            <w:pPr>
              <w:spacing w:line="240" w:lineRule="atLeast"/>
              <w:contextualSpacing/>
              <w:jc w:val="both"/>
              <w:rPr>
                <w:rFonts w:cstheme="minorHAnsi"/>
                <w:sz w:val="20"/>
                <w:szCs w:val="20"/>
              </w:rPr>
            </w:pPr>
            <w:r w:rsidRPr="00321C0C">
              <w:rPr>
                <w:rFonts w:cs="Times New Roman"/>
                <w:sz w:val="20"/>
                <w:szCs w:val="20"/>
              </w:rPr>
              <w:t>2015</w:t>
            </w:r>
          </w:p>
        </w:tc>
        <w:tc>
          <w:tcPr>
            <w:tcW w:w="708" w:type="dxa"/>
            <w:shd w:val="clear" w:color="auto" w:fill="F2F2F2" w:themeFill="background1" w:themeFillShade="F2"/>
          </w:tcPr>
          <w:p w14:paraId="1A1414D8" w14:textId="77777777" w:rsidR="00321C0C" w:rsidRPr="00321C0C" w:rsidRDefault="00321C0C" w:rsidP="00321C0C">
            <w:pPr>
              <w:spacing w:line="240" w:lineRule="atLeast"/>
              <w:contextualSpacing/>
              <w:jc w:val="both"/>
              <w:rPr>
                <w:rFonts w:cstheme="minorHAnsi"/>
                <w:sz w:val="20"/>
                <w:szCs w:val="20"/>
              </w:rPr>
            </w:pPr>
            <w:r w:rsidRPr="00321C0C">
              <w:rPr>
                <w:rFonts w:cs="Times New Roman"/>
                <w:sz w:val="20"/>
                <w:szCs w:val="20"/>
              </w:rPr>
              <w:t>2016</w:t>
            </w:r>
          </w:p>
        </w:tc>
        <w:tc>
          <w:tcPr>
            <w:tcW w:w="709" w:type="dxa"/>
            <w:shd w:val="clear" w:color="auto" w:fill="F2F2F2" w:themeFill="background1" w:themeFillShade="F2"/>
          </w:tcPr>
          <w:p w14:paraId="0F705F50" w14:textId="77777777" w:rsidR="00321C0C" w:rsidRPr="00321C0C" w:rsidRDefault="00321C0C" w:rsidP="00321C0C">
            <w:pPr>
              <w:spacing w:line="240" w:lineRule="atLeast"/>
              <w:contextualSpacing/>
              <w:jc w:val="both"/>
              <w:rPr>
                <w:rFonts w:cstheme="minorHAnsi"/>
                <w:sz w:val="20"/>
                <w:szCs w:val="20"/>
              </w:rPr>
            </w:pPr>
            <w:r w:rsidRPr="00321C0C">
              <w:rPr>
                <w:rFonts w:cs="Times New Roman"/>
                <w:sz w:val="20"/>
                <w:szCs w:val="20"/>
              </w:rPr>
              <w:t>2017</w:t>
            </w:r>
          </w:p>
        </w:tc>
        <w:tc>
          <w:tcPr>
            <w:tcW w:w="709" w:type="dxa"/>
            <w:shd w:val="clear" w:color="auto" w:fill="F2F2F2" w:themeFill="background1" w:themeFillShade="F2"/>
          </w:tcPr>
          <w:p w14:paraId="6505466B" w14:textId="77777777" w:rsidR="00321C0C" w:rsidRPr="00321C0C" w:rsidRDefault="00321C0C" w:rsidP="00321C0C">
            <w:pPr>
              <w:spacing w:line="240" w:lineRule="atLeast"/>
              <w:contextualSpacing/>
              <w:jc w:val="both"/>
              <w:rPr>
                <w:rFonts w:cstheme="minorHAnsi"/>
                <w:sz w:val="20"/>
                <w:szCs w:val="20"/>
              </w:rPr>
            </w:pPr>
            <w:r w:rsidRPr="00321C0C">
              <w:rPr>
                <w:rFonts w:cs="Times New Roman"/>
                <w:sz w:val="20"/>
                <w:szCs w:val="20"/>
              </w:rPr>
              <w:t>2018</w:t>
            </w:r>
          </w:p>
        </w:tc>
      </w:tr>
      <w:tr w:rsidR="00321C0C" w:rsidRPr="00321C0C" w14:paraId="122D1587" w14:textId="77777777" w:rsidTr="0096628E">
        <w:tc>
          <w:tcPr>
            <w:tcW w:w="1277" w:type="dxa"/>
            <w:shd w:val="clear" w:color="auto" w:fill="F2F2F2" w:themeFill="background1" w:themeFillShade="F2"/>
          </w:tcPr>
          <w:p w14:paraId="313D22AC" w14:textId="77777777" w:rsidR="00321C0C" w:rsidRPr="00321C0C" w:rsidRDefault="00321C0C" w:rsidP="00321C0C">
            <w:pPr>
              <w:spacing w:line="240" w:lineRule="atLeast"/>
              <w:contextualSpacing/>
              <w:jc w:val="both"/>
              <w:rPr>
                <w:rFonts w:cstheme="minorHAnsi"/>
                <w:b/>
                <w:sz w:val="20"/>
                <w:szCs w:val="20"/>
                <w:u w:val="single"/>
              </w:rPr>
            </w:pPr>
          </w:p>
        </w:tc>
        <w:tc>
          <w:tcPr>
            <w:tcW w:w="1701" w:type="dxa"/>
            <w:shd w:val="clear" w:color="auto" w:fill="F2F2F2" w:themeFill="background1" w:themeFillShade="F2"/>
          </w:tcPr>
          <w:p w14:paraId="11680065" w14:textId="77777777" w:rsidR="00321C0C" w:rsidRPr="00321C0C" w:rsidRDefault="00321C0C" w:rsidP="00321C0C">
            <w:pPr>
              <w:spacing w:line="240" w:lineRule="atLeast"/>
              <w:contextualSpacing/>
              <w:jc w:val="both"/>
              <w:rPr>
                <w:rFonts w:cstheme="minorHAnsi"/>
                <w:b/>
                <w:sz w:val="20"/>
                <w:szCs w:val="20"/>
                <w:u w:val="single"/>
              </w:rPr>
            </w:pPr>
          </w:p>
        </w:tc>
        <w:tc>
          <w:tcPr>
            <w:tcW w:w="4252" w:type="dxa"/>
            <w:shd w:val="clear" w:color="auto" w:fill="F2F2F2" w:themeFill="background1" w:themeFillShade="F2"/>
          </w:tcPr>
          <w:p w14:paraId="5DE3E959"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0B7BE030"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2A5457A6" w14:textId="77777777" w:rsidR="00321C0C" w:rsidRPr="00321C0C" w:rsidRDefault="00321C0C" w:rsidP="00321C0C">
            <w:pPr>
              <w:spacing w:line="240" w:lineRule="atLeast"/>
              <w:contextualSpacing/>
              <w:jc w:val="both"/>
              <w:rPr>
                <w:rFonts w:cstheme="minorHAnsi"/>
                <w:b/>
                <w:sz w:val="20"/>
                <w:szCs w:val="20"/>
                <w:u w:val="single"/>
              </w:rPr>
            </w:pPr>
          </w:p>
        </w:tc>
        <w:tc>
          <w:tcPr>
            <w:tcW w:w="708" w:type="dxa"/>
            <w:shd w:val="clear" w:color="auto" w:fill="F2F2F2" w:themeFill="background1" w:themeFillShade="F2"/>
          </w:tcPr>
          <w:p w14:paraId="00B3365A"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7638D343"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7D0DB6DC" w14:textId="77777777" w:rsidR="00321C0C" w:rsidRPr="00321C0C" w:rsidRDefault="00321C0C" w:rsidP="00321C0C">
            <w:pPr>
              <w:spacing w:line="240" w:lineRule="atLeast"/>
              <w:contextualSpacing/>
              <w:jc w:val="both"/>
              <w:rPr>
                <w:rFonts w:cstheme="minorHAnsi"/>
                <w:b/>
                <w:sz w:val="20"/>
                <w:szCs w:val="20"/>
                <w:u w:val="single"/>
              </w:rPr>
            </w:pPr>
          </w:p>
        </w:tc>
      </w:tr>
      <w:tr w:rsidR="00321C0C" w:rsidRPr="00321C0C" w14:paraId="7823BB4C" w14:textId="77777777" w:rsidTr="0096628E">
        <w:tc>
          <w:tcPr>
            <w:tcW w:w="1277" w:type="dxa"/>
            <w:shd w:val="clear" w:color="auto" w:fill="F2F2F2" w:themeFill="background1" w:themeFillShade="F2"/>
          </w:tcPr>
          <w:p w14:paraId="669F9C68" w14:textId="77777777" w:rsidR="00321C0C" w:rsidRPr="00321C0C" w:rsidRDefault="00321C0C" w:rsidP="00321C0C">
            <w:pPr>
              <w:spacing w:line="240" w:lineRule="atLeast"/>
              <w:contextualSpacing/>
              <w:jc w:val="both"/>
              <w:rPr>
                <w:rFonts w:cstheme="minorHAnsi"/>
                <w:b/>
                <w:sz w:val="20"/>
                <w:szCs w:val="20"/>
                <w:u w:val="single"/>
              </w:rPr>
            </w:pPr>
          </w:p>
        </w:tc>
        <w:tc>
          <w:tcPr>
            <w:tcW w:w="1701" w:type="dxa"/>
            <w:shd w:val="clear" w:color="auto" w:fill="F2F2F2" w:themeFill="background1" w:themeFillShade="F2"/>
          </w:tcPr>
          <w:p w14:paraId="14401CBF" w14:textId="77777777" w:rsidR="00321C0C" w:rsidRPr="00321C0C" w:rsidRDefault="00321C0C" w:rsidP="00321C0C">
            <w:pPr>
              <w:spacing w:line="240" w:lineRule="atLeast"/>
              <w:contextualSpacing/>
              <w:jc w:val="both"/>
              <w:rPr>
                <w:rFonts w:cstheme="minorHAnsi"/>
                <w:b/>
                <w:sz w:val="20"/>
                <w:szCs w:val="20"/>
                <w:u w:val="single"/>
              </w:rPr>
            </w:pPr>
          </w:p>
        </w:tc>
        <w:tc>
          <w:tcPr>
            <w:tcW w:w="4252" w:type="dxa"/>
            <w:shd w:val="clear" w:color="auto" w:fill="F2F2F2" w:themeFill="background1" w:themeFillShade="F2"/>
          </w:tcPr>
          <w:p w14:paraId="7A9B927E"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3D4FD413"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3A87B0BF" w14:textId="77777777" w:rsidR="00321C0C" w:rsidRPr="00321C0C" w:rsidRDefault="00321C0C" w:rsidP="00321C0C">
            <w:pPr>
              <w:spacing w:line="240" w:lineRule="atLeast"/>
              <w:contextualSpacing/>
              <w:jc w:val="both"/>
              <w:rPr>
                <w:rFonts w:cstheme="minorHAnsi"/>
                <w:b/>
                <w:sz w:val="20"/>
                <w:szCs w:val="20"/>
                <w:u w:val="single"/>
              </w:rPr>
            </w:pPr>
          </w:p>
        </w:tc>
        <w:tc>
          <w:tcPr>
            <w:tcW w:w="708" w:type="dxa"/>
            <w:shd w:val="clear" w:color="auto" w:fill="F2F2F2" w:themeFill="background1" w:themeFillShade="F2"/>
          </w:tcPr>
          <w:p w14:paraId="0294730C"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140E36CE"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00592D19" w14:textId="77777777" w:rsidR="00321C0C" w:rsidRPr="00321C0C" w:rsidRDefault="00321C0C" w:rsidP="00321C0C">
            <w:pPr>
              <w:spacing w:line="240" w:lineRule="atLeast"/>
              <w:contextualSpacing/>
              <w:jc w:val="both"/>
              <w:rPr>
                <w:rFonts w:cstheme="minorHAnsi"/>
                <w:b/>
                <w:sz w:val="20"/>
                <w:szCs w:val="20"/>
                <w:u w:val="single"/>
              </w:rPr>
            </w:pPr>
          </w:p>
        </w:tc>
      </w:tr>
      <w:tr w:rsidR="00321C0C" w:rsidRPr="00321C0C" w14:paraId="63FFDDC4" w14:textId="77777777" w:rsidTr="0096628E">
        <w:tc>
          <w:tcPr>
            <w:tcW w:w="7230" w:type="dxa"/>
            <w:gridSpan w:val="3"/>
            <w:shd w:val="clear" w:color="auto" w:fill="F2F2F2" w:themeFill="background1" w:themeFillShade="F2"/>
          </w:tcPr>
          <w:p w14:paraId="0DD53AB1"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Celkem</w:t>
            </w:r>
          </w:p>
        </w:tc>
        <w:tc>
          <w:tcPr>
            <w:tcW w:w="709" w:type="dxa"/>
            <w:shd w:val="clear" w:color="auto" w:fill="F2F2F2" w:themeFill="background1" w:themeFillShade="F2"/>
          </w:tcPr>
          <w:p w14:paraId="48393F57"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573FB86F" w14:textId="77777777" w:rsidR="00321C0C" w:rsidRPr="00321C0C" w:rsidRDefault="00321C0C" w:rsidP="00321C0C">
            <w:pPr>
              <w:spacing w:line="240" w:lineRule="atLeast"/>
              <w:contextualSpacing/>
              <w:jc w:val="both"/>
              <w:rPr>
                <w:rFonts w:cstheme="minorHAnsi"/>
                <w:b/>
                <w:sz w:val="20"/>
                <w:szCs w:val="20"/>
                <w:u w:val="single"/>
              </w:rPr>
            </w:pPr>
          </w:p>
        </w:tc>
        <w:tc>
          <w:tcPr>
            <w:tcW w:w="708" w:type="dxa"/>
            <w:shd w:val="clear" w:color="auto" w:fill="F2F2F2" w:themeFill="background1" w:themeFillShade="F2"/>
          </w:tcPr>
          <w:p w14:paraId="42934D45"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28082CD4"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5CAC95E8" w14:textId="77777777" w:rsidR="00321C0C" w:rsidRPr="00321C0C" w:rsidRDefault="00321C0C" w:rsidP="00321C0C">
            <w:pPr>
              <w:spacing w:line="240" w:lineRule="atLeast"/>
              <w:contextualSpacing/>
              <w:jc w:val="both"/>
              <w:rPr>
                <w:rFonts w:cstheme="minorHAnsi"/>
                <w:b/>
                <w:sz w:val="20"/>
                <w:szCs w:val="20"/>
                <w:u w:val="single"/>
              </w:rPr>
            </w:pPr>
          </w:p>
        </w:tc>
      </w:tr>
      <w:tr w:rsidR="00321C0C" w:rsidRPr="00321C0C" w14:paraId="0B5BAC80" w14:textId="77777777" w:rsidTr="0096628E">
        <w:tc>
          <w:tcPr>
            <w:tcW w:w="10774" w:type="dxa"/>
            <w:gridSpan w:val="8"/>
            <w:shd w:val="clear" w:color="auto" w:fill="F2F2F2" w:themeFill="background1" w:themeFillShade="F2"/>
          </w:tcPr>
          <w:p w14:paraId="69EB8509"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V roli dalšího účastníka</w:t>
            </w:r>
          </w:p>
        </w:tc>
      </w:tr>
      <w:tr w:rsidR="00321C0C" w:rsidRPr="00321C0C" w14:paraId="6C70B17F" w14:textId="77777777" w:rsidTr="0096628E">
        <w:tc>
          <w:tcPr>
            <w:tcW w:w="1277" w:type="dxa"/>
            <w:vMerge w:val="restart"/>
            <w:shd w:val="clear" w:color="auto" w:fill="F2F2F2" w:themeFill="background1" w:themeFillShade="F2"/>
          </w:tcPr>
          <w:p w14:paraId="56F55223"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Poskytovatel/ Investor</w:t>
            </w:r>
          </w:p>
        </w:tc>
        <w:tc>
          <w:tcPr>
            <w:tcW w:w="1701" w:type="dxa"/>
            <w:vMerge w:val="restart"/>
            <w:shd w:val="clear" w:color="auto" w:fill="F2F2F2" w:themeFill="background1" w:themeFillShade="F2"/>
          </w:tcPr>
          <w:p w14:paraId="1C5CE5EE"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Program/Dotační schéma</w:t>
            </w:r>
          </w:p>
        </w:tc>
        <w:tc>
          <w:tcPr>
            <w:tcW w:w="4252" w:type="dxa"/>
            <w:vMerge w:val="restart"/>
            <w:shd w:val="clear" w:color="auto" w:fill="F2F2F2" w:themeFill="background1" w:themeFillShade="F2"/>
          </w:tcPr>
          <w:p w14:paraId="32ED8D70"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Název projektu</w:t>
            </w:r>
          </w:p>
        </w:tc>
        <w:tc>
          <w:tcPr>
            <w:tcW w:w="3544" w:type="dxa"/>
            <w:gridSpan w:val="5"/>
            <w:shd w:val="clear" w:color="auto" w:fill="F2F2F2" w:themeFill="background1" w:themeFillShade="F2"/>
          </w:tcPr>
          <w:p w14:paraId="5E57E172"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Podpora (v tis. Kč)</w:t>
            </w:r>
          </w:p>
        </w:tc>
      </w:tr>
      <w:tr w:rsidR="00321C0C" w:rsidRPr="00321C0C" w14:paraId="660DF1B1" w14:textId="77777777" w:rsidTr="0096628E">
        <w:tc>
          <w:tcPr>
            <w:tcW w:w="1277" w:type="dxa"/>
            <w:vMerge/>
            <w:shd w:val="clear" w:color="auto" w:fill="F2F2F2" w:themeFill="background1" w:themeFillShade="F2"/>
          </w:tcPr>
          <w:p w14:paraId="3A56423C" w14:textId="77777777" w:rsidR="00321C0C" w:rsidRPr="00321C0C" w:rsidRDefault="00321C0C" w:rsidP="00321C0C">
            <w:pPr>
              <w:spacing w:line="240" w:lineRule="atLeast"/>
              <w:contextualSpacing/>
              <w:jc w:val="both"/>
              <w:rPr>
                <w:rFonts w:cstheme="minorHAnsi"/>
                <w:b/>
                <w:sz w:val="20"/>
                <w:szCs w:val="20"/>
                <w:u w:val="single"/>
              </w:rPr>
            </w:pPr>
          </w:p>
        </w:tc>
        <w:tc>
          <w:tcPr>
            <w:tcW w:w="1701" w:type="dxa"/>
            <w:vMerge/>
            <w:shd w:val="clear" w:color="auto" w:fill="F2F2F2" w:themeFill="background1" w:themeFillShade="F2"/>
          </w:tcPr>
          <w:p w14:paraId="1A37BD42" w14:textId="77777777" w:rsidR="00321C0C" w:rsidRPr="00321C0C" w:rsidRDefault="00321C0C" w:rsidP="00321C0C">
            <w:pPr>
              <w:spacing w:line="240" w:lineRule="atLeast"/>
              <w:contextualSpacing/>
              <w:jc w:val="both"/>
              <w:rPr>
                <w:rFonts w:cstheme="minorHAnsi"/>
                <w:b/>
                <w:sz w:val="20"/>
                <w:szCs w:val="20"/>
                <w:u w:val="single"/>
              </w:rPr>
            </w:pPr>
          </w:p>
        </w:tc>
        <w:tc>
          <w:tcPr>
            <w:tcW w:w="4252" w:type="dxa"/>
            <w:vMerge/>
            <w:shd w:val="clear" w:color="auto" w:fill="F2F2F2" w:themeFill="background1" w:themeFillShade="F2"/>
          </w:tcPr>
          <w:p w14:paraId="67644F10"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0E39FA99" w14:textId="77777777" w:rsidR="00321C0C" w:rsidRPr="00321C0C" w:rsidRDefault="00321C0C" w:rsidP="00321C0C">
            <w:pPr>
              <w:spacing w:line="240" w:lineRule="atLeast"/>
              <w:contextualSpacing/>
              <w:jc w:val="both"/>
              <w:rPr>
                <w:rFonts w:cstheme="minorHAnsi"/>
                <w:sz w:val="20"/>
                <w:szCs w:val="20"/>
              </w:rPr>
            </w:pPr>
            <w:r w:rsidRPr="00321C0C">
              <w:rPr>
                <w:rFonts w:cs="Times New Roman"/>
                <w:sz w:val="20"/>
                <w:szCs w:val="20"/>
              </w:rPr>
              <w:t>2014</w:t>
            </w:r>
          </w:p>
        </w:tc>
        <w:tc>
          <w:tcPr>
            <w:tcW w:w="709" w:type="dxa"/>
            <w:shd w:val="clear" w:color="auto" w:fill="F2F2F2" w:themeFill="background1" w:themeFillShade="F2"/>
          </w:tcPr>
          <w:p w14:paraId="614F74A1" w14:textId="77777777" w:rsidR="00321C0C" w:rsidRPr="00321C0C" w:rsidRDefault="00321C0C" w:rsidP="00321C0C">
            <w:pPr>
              <w:spacing w:line="240" w:lineRule="atLeast"/>
              <w:contextualSpacing/>
              <w:jc w:val="both"/>
              <w:rPr>
                <w:rFonts w:cstheme="minorHAnsi"/>
                <w:sz w:val="20"/>
                <w:szCs w:val="20"/>
              </w:rPr>
            </w:pPr>
            <w:r w:rsidRPr="00321C0C">
              <w:rPr>
                <w:rFonts w:cs="Times New Roman"/>
                <w:sz w:val="20"/>
                <w:szCs w:val="20"/>
              </w:rPr>
              <w:t>2015</w:t>
            </w:r>
          </w:p>
        </w:tc>
        <w:tc>
          <w:tcPr>
            <w:tcW w:w="708" w:type="dxa"/>
            <w:shd w:val="clear" w:color="auto" w:fill="F2F2F2" w:themeFill="background1" w:themeFillShade="F2"/>
          </w:tcPr>
          <w:p w14:paraId="403A3568" w14:textId="77777777" w:rsidR="00321C0C" w:rsidRPr="00321C0C" w:rsidRDefault="00321C0C" w:rsidP="00321C0C">
            <w:pPr>
              <w:spacing w:line="240" w:lineRule="atLeast"/>
              <w:contextualSpacing/>
              <w:jc w:val="both"/>
              <w:rPr>
                <w:rFonts w:cstheme="minorHAnsi"/>
                <w:sz w:val="20"/>
                <w:szCs w:val="20"/>
              </w:rPr>
            </w:pPr>
            <w:r w:rsidRPr="00321C0C">
              <w:rPr>
                <w:rFonts w:cs="Times New Roman"/>
                <w:sz w:val="20"/>
                <w:szCs w:val="20"/>
              </w:rPr>
              <w:t>2016</w:t>
            </w:r>
          </w:p>
        </w:tc>
        <w:tc>
          <w:tcPr>
            <w:tcW w:w="709" w:type="dxa"/>
            <w:shd w:val="clear" w:color="auto" w:fill="F2F2F2" w:themeFill="background1" w:themeFillShade="F2"/>
          </w:tcPr>
          <w:p w14:paraId="141FA65C" w14:textId="77777777" w:rsidR="00321C0C" w:rsidRPr="00321C0C" w:rsidRDefault="00321C0C" w:rsidP="00321C0C">
            <w:pPr>
              <w:spacing w:line="240" w:lineRule="atLeast"/>
              <w:contextualSpacing/>
              <w:jc w:val="both"/>
              <w:rPr>
                <w:rFonts w:cstheme="minorHAnsi"/>
                <w:sz w:val="20"/>
                <w:szCs w:val="20"/>
              </w:rPr>
            </w:pPr>
            <w:r w:rsidRPr="00321C0C">
              <w:rPr>
                <w:rFonts w:cs="Times New Roman"/>
                <w:sz w:val="20"/>
                <w:szCs w:val="20"/>
              </w:rPr>
              <w:t>2017</w:t>
            </w:r>
          </w:p>
        </w:tc>
        <w:tc>
          <w:tcPr>
            <w:tcW w:w="709" w:type="dxa"/>
            <w:shd w:val="clear" w:color="auto" w:fill="F2F2F2" w:themeFill="background1" w:themeFillShade="F2"/>
          </w:tcPr>
          <w:p w14:paraId="1D3DC727" w14:textId="77777777" w:rsidR="00321C0C" w:rsidRPr="00321C0C" w:rsidRDefault="00321C0C" w:rsidP="00321C0C">
            <w:pPr>
              <w:spacing w:line="240" w:lineRule="atLeast"/>
              <w:contextualSpacing/>
              <w:jc w:val="both"/>
              <w:rPr>
                <w:rFonts w:cstheme="minorHAnsi"/>
                <w:sz w:val="20"/>
                <w:szCs w:val="20"/>
              </w:rPr>
            </w:pPr>
            <w:r w:rsidRPr="00321C0C">
              <w:rPr>
                <w:rFonts w:cs="Times New Roman"/>
                <w:sz w:val="20"/>
                <w:szCs w:val="20"/>
              </w:rPr>
              <w:t>2018</w:t>
            </w:r>
          </w:p>
        </w:tc>
      </w:tr>
      <w:tr w:rsidR="00321C0C" w:rsidRPr="00321C0C" w14:paraId="406E82CF" w14:textId="77777777" w:rsidTr="0096628E">
        <w:tc>
          <w:tcPr>
            <w:tcW w:w="1277" w:type="dxa"/>
            <w:shd w:val="clear" w:color="auto" w:fill="F2F2F2" w:themeFill="background1" w:themeFillShade="F2"/>
          </w:tcPr>
          <w:p w14:paraId="3FFDFAED" w14:textId="77777777" w:rsidR="00321C0C" w:rsidRPr="00321C0C" w:rsidRDefault="00321C0C" w:rsidP="00321C0C">
            <w:pPr>
              <w:spacing w:line="240" w:lineRule="atLeast"/>
              <w:contextualSpacing/>
              <w:jc w:val="both"/>
              <w:rPr>
                <w:rFonts w:cstheme="minorHAnsi"/>
                <w:b/>
                <w:sz w:val="20"/>
                <w:szCs w:val="20"/>
                <w:u w:val="single"/>
              </w:rPr>
            </w:pPr>
          </w:p>
        </w:tc>
        <w:tc>
          <w:tcPr>
            <w:tcW w:w="1701" w:type="dxa"/>
            <w:shd w:val="clear" w:color="auto" w:fill="F2F2F2" w:themeFill="background1" w:themeFillShade="F2"/>
          </w:tcPr>
          <w:p w14:paraId="0D9037F5" w14:textId="77777777" w:rsidR="00321C0C" w:rsidRPr="00321C0C" w:rsidRDefault="00321C0C" w:rsidP="00321C0C">
            <w:pPr>
              <w:spacing w:line="240" w:lineRule="atLeast"/>
              <w:contextualSpacing/>
              <w:jc w:val="both"/>
              <w:rPr>
                <w:rFonts w:cstheme="minorHAnsi"/>
                <w:b/>
                <w:sz w:val="20"/>
                <w:szCs w:val="20"/>
                <w:u w:val="single"/>
              </w:rPr>
            </w:pPr>
          </w:p>
        </w:tc>
        <w:tc>
          <w:tcPr>
            <w:tcW w:w="4252" w:type="dxa"/>
            <w:shd w:val="clear" w:color="auto" w:fill="F2F2F2" w:themeFill="background1" w:themeFillShade="F2"/>
          </w:tcPr>
          <w:p w14:paraId="70BF6E05"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7AECA29C"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632730FB" w14:textId="77777777" w:rsidR="00321C0C" w:rsidRPr="00321C0C" w:rsidRDefault="00321C0C" w:rsidP="00321C0C">
            <w:pPr>
              <w:spacing w:line="240" w:lineRule="atLeast"/>
              <w:contextualSpacing/>
              <w:jc w:val="both"/>
              <w:rPr>
                <w:rFonts w:cstheme="minorHAnsi"/>
                <w:b/>
                <w:sz w:val="20"/>
                <w:szCs w:val="20"/>
                <w:u w:val="single"/>
              </w:rPr>
            </w:pPr>
          </w:p>
        </w:tc>
        <w:tc>
          <w:tcPr>
            <w:tcW w:w="708" w:type="dxa"/>
            <w:shd w:val="clear" w:color="auto" w:fill="F2F2F2" w:themeFill="background1" w:themeFillShade="F2"/>
          </w:tcPr>
          <w:p w14:paraId="718F0631"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16ED6D0E"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2D7D7140" w14:textId="77777777" w:rsidR="00321C0C" w:rsidRPr="00321C0C" w:rsidRDefault="00321C0C" w:rsidP="00321C0C">
            <w:pPr>
              <w:spacing w:line="240" w:lineRule="atLeast"/>
              <w:contextualSpacing/>
              <w:jc w:val="both"/>
              <w:rPr>
                <w:rFonts w:cstheme="minorHAnsi"/>
                <w:b/>
                <w:sz w:val="20"/>
                <w:szCs w:val="20"/>
                <w:u w:val="single"/>
              </w:rPr>
            </w:pPr>
          </w:p>
        </w:tc>
      </w:tr>
      <w:tr w:rsidR="00321C0C" w:rsidRPr="00321C0C" w14:paraId="2D43E002" w14:textId="77777777" w:rsidTr="0096628E">
        <w:tc>
          <w:tcPr>
            <w:tcW w:w="1277" w:type="dxa"/>
            <w:shd w:val="clear" w:color="auto" w:fill="F2F2F2" w:themeFill="background1" w:themeFillShade="F2"/>
          </w:tcPr>
          <w:p w14:paraId="6A9D21E1" w14:textId="77777777" w:rsidR="00321C0C" w:rsidRPr="00321C0C" w:rsidRDefault="00321C0C" w:rsidP="00321C0C">
            <w:pPr>
              <w:spacing w:line="240" w:lineRule="atLeast"/>
              <w:contextualSpacing/>
              <w:jc w:val="both"/>
              <w:rPr>
                <w:rFonts w:cstheme="minorHAnsi"/>
                <w:b/>
                <w:sz w:val="20"/>
                <w:szCs w:val="20"/>
                <w:u w:val="single"/>
              </w:rPr>
            </w:pPr>
          </w:p>
        </w:tc>
        <w:tc>
          <w:tcPr>
            <w:tcW w:w="1701" w:type="dxa"/>
            <w:shd w:val="clear" w:color="auto" w:fill="F2F2F2" w:themeFill="background1" w:themeFillShade="F2"/>
          </w:tcPr>
          <w:p w14:paraId="2929970C" w14:textId="77777777" w:rsidR="00321C0C" w:rsidRPr="00321C0C" w:rsidRDefault="00321C0C" w:rsidP="00321C0C">
            <w:pPr>
              <w:spacing w:line="240" w:lineRule="atLeast"/>
              <w:contextualSpacing/>
              <w:jc w:val="both"/>
              <w:rPr>
                <w:rFonts w:cstheme="minorHAnsi"/>
                <w:b/>
                <w:sz w:val="20"/>
                <w:szCs w:val="20"/>
                <w:u w:val="single"/>
              </w:rPr>
            </w:pPr>
          </w:p>
        </w:tc>
        <w:tc>
          <w:tcPr>
            <w:tcW w:w="4252" w:type="dxa"/>
            <w:shd w:val="clear" w:color="auto" w:fill="F2F2F2" w:themeFill="background1" w:themeFillShade="F2"/>
          </w:tcPr>
          <w:p w14:paraId="3B9466D3"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473980B9"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040C0B68" w14:textId="77777777" w:rsidR="00321C0C" w:rsidRPr="00321C0C" w:rsidRDefault="00321C0C" w:rsidP="00321C0C">
            <w:pPr>
              <w:spacing w:line="240" w:lineRule="atLeast"/>
              <w:contextualSpacing/>
              <w:jc w:val="both"/>
              <w:rPr>
                <w:rFonts w:cstheme="minorHAnsi"/>
                <w:b/>
                <w:sz w:val="20"/>
                <w:szCs w:val="20"/>
                <w:u w:val="single"/>
              </w:rPr>
            </w:pPr>
          </w:p>
        </w:tc>
        <w:tc>
          <w:tcPr>
            <w:tcW w:w="708" w:type="dxa"/>
            <w:shd w:val="clear" w:color="auto" w:fill="F2F2F2" w:themeFill="background1" w:themeFillShade="F2"/>
          </w:tcPr>
          <w:p w14:paraId="5D1E5239"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6F452C72"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4BC70627" w14:textId="77777777" w:rsidR="00321C0C" w:rsidRPr="00321C0C" w:rsidRDefault="00321C0C" w:rsidP="00321C0C">
            <w:pPr>
              <w:spacing w:line="240" w:lineRule="atLeast"/>
              <w:contextualSpacing/>
              <w:jc w:val="both"/>
              <w:rPr>
                <w:rFonts w:cstheme="minorHAnsi"/>
                <w:b/>
                <w:sz w:val="20"/>
                <w:szCs w:val="20"/>
                <w:u w:val="single"/>
              </w:rPr>
            </w:pPr>
          </w:p>
        </w:tc>
      </w:tr>
      <w:tr w:rsidR="00321C0C" w:rsidRPr="00321C0C" w14:paraId="43E89576" w14:textId="77777777" w:rsidTr="0096628E">
        <w:tc>
          <w:tcPr>
            <w:tcW w:w="7230" w:type="dxa"/>
            <w:gridSpan w:val="3"/>
            <w:shd w:val="clear" w:color="auto" w:fill="F2F2F2" w:themeFill="background1" w:themeFillShade="F2"/>
          </w:tcPr>
          <w:p w14:paraId="1FF57E67"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Celkem</w:t>
            </w:r>
          </w:p>
        </w:tc>
        <w:tc>
          <w:tcPr>
            <w:tcW w:w="709" w:type="dxa"/>
            <w:shd w:val="clear" w:color="auto" w:fill="F2F2F2" w:themeFill="background1" w:themeFillShade="F2"/>
          </w:tcPr>
          <w:p w14:paraId="27FEE872"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79282BA3" w14:textId="77777777" w:rsidR="00321C0C" w:rsidRPr="00321C0C" w:rsidRDefault="00321C0C" w:rsidP="00321C0C">
            <w:pPr>
              <w:spacing w:line="240" w:lineRule="atLeast"/>
              <w:contextualSpacing/>
              <w:jc w:val="both"/>
              <w:rPr>
                <w:rFonts w:cstheme="minorHAnsi"/>
                <w:b/>
                <w:sz w:val="20"/>
                <w:szCs w:val="20"/>
                <w:u w:val="single"/>
              </w:rPr>
            </w:pPr>
          </w:p>
        </w:tc>
        <w:tc>
          <w:tcPr>
            <w:tcW w:w="708" w:type="dxa"/>
            <w:shd w:val="clear" w:color="auto" w:fill="F2F2F2" w:themeFill="background1" w:themeFillShade="F2"/>
          </w:tcPr>
          <w:p w14:paraId="151EFE55"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610FCEEE"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36826850" w14:textId="77777777" w:rsidR="00321C0C" w:rsidRPr="00321C0C" w:rsidRDefault="00321C0C" w:rsidP="00321C0C">
            <w:pPr>
              <w:spacing w:line="240" w:lineRule="atLeast"/>
              <w:contextualSpacing/>
              <w:jc w:val="both"/>
              <w:rPr>
                <w:rFonts w:cstheme="minorHAnsi"/>
                <w:b/>
                <w:sz w:val="20"/>
                <w:szCs w:val="20"/>
                <w:u w:val="single"/>
              </w:rPr>
            </w:pPr>
          </w:p>
        </w:tc>
      </w:tr>
    </w:tbl>
    <w:p w14:paraId="4CBAA5E2" w14:textId="77777777" w:rsidR="00321C0C" w:rsidRPr="00321C0C" w:rsidRDefault="00321C0C" w:rsidP="00321C0C">
      <w:pPr>
        <w:spacing w:line="240" w:lineRule="atLeast"/>
        <w:jc w:val="both"/>
        <w:rPr>
          <w:rFonts w:cstheme="minorHAnsi"/>
          <w:sz w:val="20"/>
          <w:szCs w:val="20"/>
          <w:lang w:val="cs-CZ"/>
        </w:rPr>
      </w:pPr>
    </w:p>
    <w:p w14:paraId="2F7ABD06" w14:textId="77777777" w:rsidR="00321C0C" w:rsidRPr="00321C0C" w:rsidRDefault="00321C0C" w:rsidP="00321C0C">
      <w:pPr>
        <w:jc w:val="both"/>
        <w:rPr>
          <w:rFonts w:cstheme="minorHAnsi"/>
          <w:sz w:val="20"/>
          <w:szCs w:val="20"/>
          <w:lang w:val="cs-CZ"/>
        </w:rPr>
      </w:pPr>
      <w:r w:rsidRPr="00321C0C">
        <w:rPr>
          <w:rFonts w:cs="Times New Roman"/>
          <w:sz w:val="20"/>
          <w:szCs w:val="20"/>
          <w:lang w:val="cs-CZ"/>
        </w:rPr>
        <w:t>Pozn.:</w:t>
      </w:r>
      <w:r w:rsidRPr="00321C0C">
        <w:rPr>
          <w:rFonts w:cstheme="minorHAnsi"/>
          <w:sz w:val="20"/>
          <w:szCs w:val="20"/>
          <w:lang w:val="cs-CZ"/>
        </w:rPr>
        <w:t xml:space="preserve"> Uveďte sumárně projekty GA ČR a jejich finanční objem v Kč, sumárně projekty TA ČR a jejich finanční objem v Kč, sumárně další projekty resortní a jejich finanční objem v Kč. U spoluřešitelských projektů uvádějte finanční objemy pro danou vysokou školu).</w:t>
      </w:r>
    </w:p>
    <w:p w14:paraId="6F77857B" w14:textId="77777777" w:rsidR="00DE4AB9" w:rsidRDefault="00321C0C" w:rsidP="00321C0C">
      <w:pPr>
        <w:jc w:val="both"/>
        <w:rPr>
          <w:rFonts w:cstheme="minorHAnsi"/>
          <w:sz w:val="20"/>
          <w:szCs w:val="20"/>
          <w:lang w:val="cs-CZ"/>
        </w:rPr>
      </w:pPr>
      <w:r w:rsidRPr="00321C0C">
        <w:rPr>
          <w:rFonts w:cstheme="minorHAnsi"/>
          <w:sz w:val="20"/>
          <w:szCs w:val="20"/>
          <w:lang w:val="cs-CZ"/>
        </w:rPr>
        <w:t xml:space="preserve">Dále uveďte </w:t>
      </w:r>
      <w:r w:rsidRPr="00321C0C">
        <w:rPr>
          <w:rFonts w:cstheme="minorHAnsi"/>
          <w:sz w:val="20"/>
          <w:szCs w:val="20"/>
          <w:u w:val="single"/>
          <w:lang w:val="cs-CZ"/>
        </w:rPr>
        <w:t>jednotlivě</w:t>
      </w:r>
      <w:r w:rsidRPr="00321C0C">
        <w:rPr>
          <w:rFonts w:cstheme="minorHAnsi"/>
          <w:sz w:val="20"/>
          <w:szCs w:val="20"/>
          <w:lang w:val="cs-CZ"/>
        </w:rPr>
        <w:t xml:space="preserve"> projekty financované ze strukturálních fondů EU a zaměřené výhradně na VaVaI (např. OP VVV</w:t>
      </w:r>
      <w:r w:rsidRPr="00321C0C">
        <w:rPr>
          <w:rFonts w:cstheme="minorHAnsi"/>
          <w:sz w:val="20"/>
          <w:szCs w:val="20"/>
          <w:vertAlign w:val="superscript"/>
          <w:lang w:val="cs-CZ"/>
        </w:rPr>
        <w:footnoteReference w:id="13"/>
      </w:r>
      <w:r w:rsidRPr="00321C0C">
        <w:rPr>
          <w:rFonts w:cstheme="minorHAnsi"/>
          <w:sz w:val="20"/>
          <w:szCs w:val="20"/>
          <w:lang w:val="cs-CZ"/>
        </w:rPr>
        <w:t xml:space="preserve"> OP PIK</w:t>
      </w:r>
      <w:r w:rsidRPr="00321C0C">
        <w:rPr>
          <w:rFonts w:cstheme="minorHAnsi"/>
          <w:sz w:val="20"/>
          <w:szCs w:val="20"/>
          <w:vertAlign w:val="superscript"/>
          <w:lang w:val="cs-CZ"/>
        </w:rPr>
        <w:footnoteReference w:id="14"/>
      </w:r>
      <w:r w:rsidRPr="00321C0C">
        <w:rPr>
          <w:rFonts w:cstheme="minorHAnsi"/>
          <w:sz w:val="20"/>
          <w:szCs w:val="20"/>
          <w:lang w:val="cs-CZ"/>
        </w:rPr>
        <w:t>) a jejich finanční objem v Kč,</w:t>
      </w:r>
      <w:r w:rsidR="00DE4AB9">
        <w:rPr>
          <w:rFonts w:cstheme="minorHAnsi"/>
          <w:sz w:val="20"/>
          <w:szCs w:val="20"/>
          <w:lang w:val="cs-CZ"/>
        </w:rPr>
        <w:t xml:space="preserve"> </w:t>
      </w:r>
      <w:r w:rsidRPr="00321C0C">
        <w:rPr>
          <w:rFonts w:cstheme="minorHAnsi"/>
          <w:sz w:val="20"/>
          <w:szCs w:val="20"/>
          <w:lang w:val="cs-CZ"/>
        </w:rPr>
        <w:t xml:space="preserve">a </w:t>
      </w:r>
      <w:r w:rsidRPr="00321C0C">
        <w:rPr>
          <w:rFonts w:cstheme="minorHAnsi"/>
          <w:sz w:val="20"/>
          <w:szCs w:val="20"/>
          <w:u w:val="single"/>
          <w:lang w:val="cs-CZ"/>
        </w:rPr>
        <w:t>jednotlivě</w:t>
      </w:r>
      <w:r w:rsidRPr="00321C0C">
        <w:rPr>
          <w:rFonts w:cstheme="minorHAnsi"/>
          <w:sz w:val="20"/>
          <w:szCs w:val="20"/>
          <w:lang w:val="cs-CZ"/>
        </w:rPr>
        <w:t xml:space="preserve"> projekty financované z regionálních zdrojů zaměřené výhradně na VaVaI a jejich finanční objem v Kč. </w:t>
      </w:r>
    </w:p>
    <w:p w14:paraId="5E62F9CB" w14:textId="5748BD43" w:rsidR="00321C0C" w:rsidRPr="00321C0C" w:rsidRDefault="00321C0C" w:rsidP="00321C0C">
      <w:pPr>
        <w:jc w:val="both"/>
        <w:rPr>
          <w:rFonts w:cstheme="minorHAnsi"/>
          <w:sz w:val="20"/>
          <w:szCs w:val="20"/>
          <w:lang w:val="cs-CZ"/>
        </w:rPr>
      </w:pPr>
      <w:r w:rsidRPr="00321C0C">
        <w:rPr>
          <w:rFonts w:cstheme="minorHAnsi"/>
          <w:sz w:val="20"/>
          <w:szCs w:val="20"/>
          <w:lang w:val="cs-CZ"/>
        </w:rPr>
        <w:t>U spoluřešitelských projektů uvádějte finanční objemy pouze pro danou vysokou školu.</w:t>
      </w:r>
    </w:p>
    <w:p w14:paraId="1615C6A7" w14:textId="77777777" w:rsidR="00321C0C" w:rsidRPr="00321C0C" w:rsidRDefault="00321C0C" w:rsidP="00321C0C">
      <w:pPr>
        <w:spacing w:line="240" w:lineRule="atLeast"/>
        <w:jc w:val="both"/>
        <w:rPr>
          <w:rFonts w:cstheme="minorHAnsi"/>
          <w:sz w:val="20"/>
          <w:szCs w:val="20"/>
          <w:lang w:val="cs-CZ"/>
        </w:rPr>
      </w:pPr>
    </w:p>
    <w:p w14:paraId="5C72A957" w14:textId="77777777" w:rsidR="00321C0C" w:rsidRPr="00321C0C" w:rsidRDefault="00321C0C" w:rsidP="00321C0C">
      <w:pPr>
        <w:spacing w:line="240" w:lineRule="atLeast"/>
        <w:jc w:val="both"/>
        <w:rPr>
          <w:rFonts w:cstheme="minorHAnsi"/>
          <w:sz w:val="22"/>
          <w:szCs w:val="22"/>
          <w:lang w:val="cs-CZ"/>
        </w:rPr>
      </w:pPr>
      <w:r w:rsidRPr="00321C0C">
        <w:rPr>
          <w:rFonts w:cstheme="minorHAnsi"/>
          <w:sz w:val="22"/>
          <w:szCs w:val="22"/>
          <w:lang w:val="cs-CZ"/>
        </w:rPr>
        <w:t>4.19.4 Projekty podporované z neveřejných zdrojů</w:t>
      </w:r>
    </w:p>
    <w:p w14:paraId="35D7630C" w14:textId="77777777" w:rsidR="00321C0C" w:rsidRPr="00321C0C" w:rsidRDefault="00321C0C" w:rsidP="00321C0C">
      <w:pPr>
        <w:spacing w:line="240" w:lineRule="atLeast"/>
        <w:jc w:val="both"/>
        <w:rPr>
          <w:rFonts w:cstheme="minorHAnsi"/>
          <w:sz w:val="20"/>
          <w:szCs w:val="20"/>
          <w:lang w:val="cs-CZ"/>
        </w:rPr>
      </w:pPr>
    </w:p>
    <w:tbl>
      <w:tblPr>
        <w:tblStyle w:val="Mkatabulky2"/>
        <w:tblW w:w="10774" w:type="dxa"/>
        <w:tblInd w:w="-856" w:type="dxa"/>
        <w:shd w:val="clear" w:color="auto" w:fill="F2F2F2" w:themeFill="background1" w:themeFillShade="F2"/>
        <w:tblLayout w:type="fixed"/>
        <w:tblLook w:val="04A0" w:firstRow="1" w:lastRow="0" w:firstColumn="1" w:lastColumn="0" w:noHBand="0" w:noVBand="1"/>
      </w:tblPr>
      <w:tblGrid>
        <w:gridCol w:w="2552"/>
        <w:gridCol w:w="4678"/>
        <w:gridCol w:w="709"/>
        <w:gridCol w:w="709"/>
        <w:gridCol w:w="708"/>
        <w:gridCol w:w="709"/>
        <w:gridCol w:w="709"/>
      </w:tblGrid>
      <w:tr w:rsidR="00321C0C" w:rsidRPr="00321C0C" w14:paraId="3F0B6F91" w14:textId="77777777" w:rsidTr="0096628E">
        <w:tc>
          <w:tcPr>
            <w:tcW w:w="10774" w:type="dxa"/>
            <w:gridSpan w:val="7"/>
            <w:shd w:val="clear" w:color="auto" w:fill="F2F2F2" w:themeFill="background1" w:themeFillShade="F2"/>
          </w:tcPr>
          <w:p w14:paraId="22FF812D"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V roli příjemce</w:t>
            </w:r>
          </w:p>
        </w:tc>
      </w:tr>
      <w:tr w:rsidR="00321C0C" w:rsidRPr="00321C0C" w14:paraId="01B63237" w14:textId="77777777" w:rsidTr="0096628E">
        <w:tc>
          <w:tcPr>
            <w:tcW w:w="2552" w:type="dxa"/>
            <w:vMerge w:val="restart"/>
            <w:shd w:val="clear" w:color="auto" w:fill="F2F2F2" w:themeFill="background1" w:themeFillShade="F2"/>
          </w:tcPr>
          <w:p w14:paraId="34C3EDCF"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Poskytovatel/Investor</w:t>
            </w:r>
          </w:p>
        </w:tc>
        <w:tc>
          <w:tcPr>
            <w:tcW w:w="4678" w:type="dxa"/>
            <w:vMerge w:val="restart"/>
            <w:shd w:val="clear" w:color="auto" w:fill="F2F2F2" w:themeFill="background1" w:themeFillShade="F2"/>
          </w:tcPr>
          <w:p w14:paraId="5B86F9C3"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Název projektu</w:t>
            </w:r>
          </w:p>
        </w:tc>
        <w:tc>
          <w:tcPr>
            <w:tcW w:w="3544" w:type="dxa"/>
            <w:gridSpan w:val="5"/>
            <w:shd w:val="clear" w:color="auto" w:fill="F2F2F2" w:themeFill="background1" w:themeFillShade="F2"/>
          </w:tcPr>
          <w:p w14:paraId="64288654"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Podpora (v tis. Kč)</w:t>
            </w:r>
          </w:p>
        </w:tc>
      </w:tr>
      <w:tr w:rsidR="00321C0C" w:rsidRPr="00321C0C" w14:paraId="489FC05B" w14:textId="77777777" w:rsidTr="0096628E">
        <w:tc>
          <w:tcPr>
            <w:tcW w:w="2552" w:type="dxa"/>
            <w:vMerge/>
            <w:shd w:val="clear" w:color="auto" w:fill="F2F2F2" w:themeFill="background1" w:themeFillShade="F2"/>
          </w:tcPr>
          <w:p w14:paraId="45B11876" w14:textId="77777777" w:rsidR="00321C0C" w:rsidRPr="00321C0C" w:rsidRDefault="00321C0C" w:rsidP="00321C0C">
            <w:pPr>
              <w:spacing w:line="240" w:lineRule="atLeast"/>
              <w:contextualSpacing/>
              <w:jc w:val="both"/>
              <w:rPr>
                <w:rFonts w:cstheme="minorHAnsi"/>
                <w:b/>
                <w:sz w:val="20"/>
                <w:szCs w:val="20"/>
                <w:u w:val="single"/>
              </w:rPr>
            </w:pPr>
          </w:p>
        </w:tc>
        <w:tc>
          <w:tcPr>
            <w:tcW w:w="4678" w:type="dxa"/>
            <w:vMerge/>
            <w:shd w:val="clear" w:color="auto" w:fill="F2F2F2" w:themeFill="background1" w:themeFillShade="F2"/>
          </w:tcPr>
          <w:p w14:paraId="36042E5A" w14:textId="77777777" w:rsidR="00321C0C" w:rsidRPr="00321C0C" w:rsidRDefault="00321C0C" w:rsidP="00321C0C">
            <w:pPr>
              <w:spacing w:line="240" w:lineRule="atLeast"/>
              <w:contextualSpacing/>
              <w:jc w:val="both"/>
              <w:rPr>
                <w:rFonts w:cstheme="minorHAnsi"/>
                <w:sz w:val="20"/>
                <w:szCs w:val="20"/>
              </w:rPr>
            </w:pPr>
          </w:p>
        </w:tc>
        <w:tc>
          <w:tcPr>
            <w:tcW w:w="709" w:type="dxa"/>
            <w:shd w:val="clear" w:color="auto" w:fill="F2F2F2" w:themeFill="background1" w:themeFillShade="F2"/>
          </w:tcPr>
          <w:p w14:paraId="5973081D" w14:textId="77777777" w:rsidR="00321C0C" w:rsidRPr="00321C0C" w:rsidRDefault="00321C0C" w:rsidP="00321C0C">
            <w:pPr>
              <w:spacing w:line="240" w:lineRule="atLeast"/>
              <w:contextualSpacing/>
              <w:jc w:val="both"/>
              <w:rPr>
                <w:rFonts w:cstheme="minorHAnsi"/>
                <w:sz w:val="20"/>
                <w:szCs w:val="20"/>
              </w:rPr>
            </w:pPr>
            <w:r w:rsidRPr="00321C0C">
              <w:rPr>
                <w:rFonts w:cs="Times New Roman"/>
                <w:sz w:val="20"/>
                <w:szCs w:val="20"/>
              </w:rPr>
              <w:t>2014</w:t>
            </w:r>
          </w:p>
        </w:tc>
        <w:tc>
          <w:tcPr>
            <w:tcW w:w="709" w:type="dxa"/>
            <w:shd w:val="clear" w:color="auto" w:fill="F2F2F2" w:themeFill="background1" w:themeFillShade="F2"/>
          </w:tcPr>
          <w:p w14:paraId="2D0B1D13" w14:textId="77777777" w:rsidR="00321C0C" w:rsidRPr="00321C0C" w:rsidRDefault="00321C0C" w:rsidP="00321C0C">
            <w:pPr>
              <w:spacing w:line="240" w:lineRule="atLeast"/>
              <w:contextualSpacing/>
              <w:jc w:val="both"/>
              <w:rPr>
                <w:rFonts w:cstheme="minorHAnsi"/>
                <w:sz w:val="20"/>
                <w:szCs w:val="20"/>
              </w:rPr>
            </w:pPr>
            <w:r w:rsidRPr="00321C0C">
              <w:rPr>
                <w:rFonts w:cs="Times New Roman"/>
                <w:sz w:val="20"/>
                <w:szCs w:val="20"/>
              </w:rPr>
              <w:t>2015</w:t>
            </w:r>
          </w:p>
        </w:tc>
        <w:tc>
          <w:tcPr>
            <w:tcW w:w="708" w:type="dxa"/>
            <w:shd w:val="clear" w:color="auto" w:fill="F2F2F2" w:themeFill="background1" w:themeFillShade="F2"/>
          </w:tcPr>
          <w:p w14:paraId="1E6721E5" w14:textId="77777777" w:rsidR="00321C0C" w:rsidRPr="00321C0C" w:rsidRDefault="00321C0C" w:rsidP="00321C0C">
            <w:pPr>
              <w:spacing w:line="240" w:lineRule="atLeast"/>
              <w:contextualSpacing/>
              <w:jc w:val="both"/>
              <w:rPr>
                <w:rFonts w:cstheme="minorHAnsi"/>
                <w:sz w:val="20"/>
                <w:szCs w:val="20"/>
              </w:rPr>
            </w:pPr>
            <w:r w:rsidRPr="00321C0C">
              <w:rPr>
                <w:rFonts w:cs="Times New Roman"/>
                <w:sz w:val="20"/>
                <w:szCs w:val="20"/>
              </w:rPr>
              <w:t>2016</w:t>
            </w:r>
          </w:p>
        </w:tc>
        <w:tc>
          <w:tcPr>
            <w:tcW w:w="709" w:type="dxa"/>
            <w:shd w:val="clear" w:color="auto" w:fill="F2F2F2" w:themeFill="background1" w:themeFillShade="F2"/>
          </w:tcPr>
          <w:p w14:paraId="758C064F" w14:textId="77777777" w:rsidR="00321C0C" w:rsidRPr="00321C0C" w:rsidRDefault="00321C0C" w:rsidP="00321C0C">
            <w:pPr>
              <w:spacing w:line="240" w:lineRule="atLeast"/>
              <w:contextualSpacing/>
              <w:jc w:val="both"/>
              <w:rPr>
                <w:rFonts w:cstheme="minorHAnsi"/>
                <w:sz w:val="20"/>
                <w:szCs w:val="20"/>
              </w:rPr>
            </w:pPr>
            <w:r w:rsidRPr="00321C0C">
              <w:rPr>
                <w:rFonts w:cs="Times New Roman"/>
                <w:sz w:val="20"/>
                <w:szCs w:val="20"/>
              </w:rPr>
              <w:t>2017</w:t>
            </w:r>
          </w:p>
        </w:tc>
        <w:tc>
          <w:tcPr>
            <w:tcW w:w="709" w:type="dxa"/>
            <w:shd w:val="clear" w:color="auto" w:fill="F2F2F2" w:themeFill="background1" w:themeFillShade="F2"/>
          </w:tcPr>
          <w:p w14:paraId="17DB06C7" w14:textId="77777777" w:rsidR="00321C0C" w:rsidRPr="00321C0C" w:rsidRDefault="00321C0C" w:rsidP="00321C0C">
            <w:pPr>
              <w:spacing w:line="240" w:lineRule="atLeast"/>
              <w:contextualSpacing/>
              <w:jc w:val="both"/>
              <w:rPr>
                <w:rFonts w:cstheme="minorHAnsi"/>
                <w:sz w:val="20"/>
                <w:szCs w:val="20"/>
              </w:rPr>
            </w:pPr>
            <w:r w:rsidRPr="00321C0C">
              <w:rPr>
                <w:rFonts w:cs="Times New Roman"/>
                <w:sz w:val="20"/>
                <w:szCs w:val="20"/>
              </w:rPr>
              <w:t>2018</w:t>
            </w:r>
          </w:p>
        </w:tc>
      </w:tr>
      <w:tr w:rsidR="00321C0C" w:rsidRPr="00321C0C" w14:paraId="319CD95B" w14:textId="77777777" w:rsidTr="0096628E">
        <w:tc>
          <w:tcPr>
            <w:tcW w:w="2552" w:type="dxa"/>
            <w:shd w:val="clear" w:color="auto" w:fill="F2F2F2" w:themeFill="background1" w:themeFillShade="F2"/>
          </w:tcPr>
          <w:p w14:paraId="33A34883" w14:textId="77777777" w:rsidR="00321C0C" w:rsidRPr="00321C0C" w:rsidRDefault="00321C0C" w:rsidP="00321C0C">
            <w:pPr>
              <w:spacing w:line="240" w:lineRule="atLeast"/>
              <w:contextualSpacing/>
              <w:jc w:val="both"/>
              <w:rPr>
                <w:rFonts w:cstheme="minorHAnsi"/>
                <w:b/>
                <w:sz w:val="20"/>
                <w:szCs w:val="20"/>
                <w:u w:val="single"/>
              </w:rPr>
            </w:pPr>
          </w:p>
        </w:tc>
        <w:tc>
          <w:tcPr>
            <w:tcW w:w="4678" w:type="dxa"/>
            <w:shd w:val="clear" w:color="auto" w:fill="F2F2F2" w:themeFill="background1" w:themeFillShade="F2"/>
          </w:tcPr>
          <w:p w14:paraId="1A21A12F"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17314884"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58B7AB85" w14:textId="77777777" w:rsidR="00321C0C" w:rsidRPr="00321C0C" w:rsidRDefault="00321C0C" w:rsidP="00321C0C">
            <w:pPr>
              <w:spacing w:line="240" w:lineRule="atLeast"/>
              <w:contextualSpacing/>
              <w:jc w:val="both"/>
              <w:rPr>
                <w:rFonts w:cstheme="minorHAnsi"/>
                <w:b/>
                <w:sz w:val="20"/>
                <w:szCs w:val="20"/>
                <w:u w:val="single"/>
              </w:rPr>
            </w:pPr>
          </w:p>
        </w:tc>
        <w:tc>
          <w:tcPr>
            <w:tcW w:w="708" w:type="dxa"/>
            <w:shd w:val="clear" w:color="auto" w:fill="F2F2F2" w:themeFill="background1" w:themeFillShade="F2"/>
          </w:tcPr>
          <w:p w14:paraId="193BF6AB"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2C72C06F"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494D32A6" w14:textId="77777777" w:rsidR="00321C0C" w:rsidRPr="00321C0C" w:rsidRDefault="00321C0C" w:rsidP="00321C0C">
            <w:pPr>
              <w:spacing w:line="240" w:lineRule="atLeast"/>
              <w:contextualSpacing/>
              <w:jc w:val="both"/>
              <w:rPr>
                <w:rFonts w:cstheme="minorHAnsi"/>
                <w:b/>
                <w:sz w:val="20"/>
                <w:szCs w:val="20"/>
                <w:u w:val="single"/>
              </w:rPr>
            </w:pPr>
          </w:p>
        </w:tc>
      </w:tr>
      <w:tr w:rsidR="00321C0C" w:rsidRPr="00321C0C" w14:paraId="19D134CF" w14:textId="77777777" w:rsidTr="0096628E">
        <w:tc>
          <w:tcPr>
            <w:tcW w:w="2552" w:type="dxa"/>
            <w:shd w:val="clear" w:color="auto" w:fill="F2F2F2" w:themeFill="background1" w:themeFillShade="F2"/>
          </w:tcPr>
          <w:p w14:paraId="694B43BC" w14:textId="77777777" w:rsidR="00321C0C" w:rsidRPr="00321C0C" w:rsidRDefault="00321C0C" w:rsidP="00321C0C">
            <w:pPr>
              <w:spacing w:line="240" w:lineRule="atLeast"/>
              <w:contextualSpacing/>
              <w:jc w:val="both"/>
              <w:rPr>
                <w:rFonts w:cstheme="minorHAnsi"/>
                <w:b/>
                <w:sz w:val="20"/>
                <w:szCs w:val="20"/>
                <w:u w:val="single"/>
              </w:rPr>
            </w:pPr>
          </w:p>
        </w:tc>
        <w:tc>
          <w:tcPr>
            <w:tcW w:w="4678" w:type="dxa"/>
            <w:shd w:val="clear" w:color="auto" w:fill="F2F2F2" w:themeFill="background1" w:themeFillShade="F2"/>
          </w:tcPr>
          <w:p w14:paraId="07726EAC"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4C0C7B20"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15DC4EC6" w14:textId="77777777" w:rsidR="00321C0C" w:rsidRPr="00321C0C" w:rsidRDefault="00321C0C" w:rsidP="00321C0C">
            <w:pPr>
              <w:spacing w:line="240" w:lineRule="atLeast"/>
              <w:contextualSpacing/>
              <w:jc w:val="both"/>
              <w:rPr>
                <w:rFonts w:cstheme="minorHAnsi"/>
                <w:b/>
                <w:sz w:val="20"/>
                <w:szCs w:val="20"/>
                <w:u w:val="single"/>
              </w:rPr>
            </w:pPr>
          </w:p>
        </w:tc>
        <w:tc>
          <w:tcPr>
            <w:tcW w:w="708" w:type="dxa"/>
            <w:shd w:val="clear" w:color="auto" w:fill="F2F2F2" w:themeFill="background1" w:themeFillShade="F2"/>
          </w:tcPr>
          <w:p w14:paraId="3FC6B4BB"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4510499E"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1CE50A84" w14:textId="77777777" w:rsidR="00321C0C" w:rsidRPr="00321C0C" w:rsidRDefault="00321C0C" w:rsidP="00321C0C">
            <w:pPr>
              <w:spacing w:line="240" w:lineRule="atLeast"/>
              <w:contextualSpacing/>
              <w:jc w:val="both"/>
              <w:rPr>
                <w:rFonts w:cstheme="minorHAnsi"/>
                <w:b/>
                <w:sz w:val="20"/>
                <w:szCs w:val="20"/>
                <w:u w:val="single"/>
              </w:rPr>
            </w:pPr>
          </w:p>
        </w:tc>
      </w:tr>
      <w:tr w:rsidR="00321C0C" w:rsidRPr="00321C0C" w14:paraId="50474970" w14:textId="77777777" w:rsidTr="0096628E">
        <w:tc>
          <w:tcPr>
            <w:tcW w:w="7230" w:type="dxa"/>
            <w:gridSpan w:val="2"/>
            <w:shd w:val="clear" w:color="auto" w:fill="F2F2F2" w:themeFill="background1" w:themeFillShade="F2"/>
          </w:tcPr>
          <w:p w14:paraId="09E3AE49"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Celkem</w:t>
            </w:r>
          </w:p>
        </w:tc>
        <w:tc>
          <w:tcPr>
            <w:tcW w:w="709" w:type="dxa"/>
            <w:shd w:val="clear" w:color="auto" w:fill="F2F2F2" w:themeFill="background1" w:themeFillShade="F2"/>
          </w:tcPr>
          <w:p w14:paraId="7EA1EC20"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24EC7E04" w14:textId="77777777" w:rsidR="00321C0C" w:rsidRPr="00321C0C" w:rsidRDefault="00321C0C" w:rsidP="00321C0C">
            <w:pPr>
              <w:spacing w:line="240" w:lineRule="atLeast"/>
              <w:contextualSpacing/>
              <w:jc w:val="both"/>
              <w:rPr>
                <w:rFonts w:cstheme="minorHAnsi"/>
                <w:b/>
                <w:sz w:val="20"/>
                <w:szCs w:val="20"/>
                <w:u w:val="single"/>
              </w:rPr>
            </w:pPr>
          </w:p>
        </w:tc>
        <w:tc>
          <w:tcPr>
            <w:tcW w:w="708" w:type="dxa"/>
            <w:shd w:val="clear" w:color="auto" w:fill="F2F2F2" w:themeFill="background1" w:themeFillShade="F2"/>
          </w:tcPr>
          <w:p w14:paraId="1FAB12A2"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00F686A7"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0C98782F" w14:textId="77777777" w:rsidR="00321C0C" w:rsidRPr="00321C0C" w:rsidRDefault="00321C0C" w:rsidP="00321C0C">
            <w:pPr>
              <w:spacing w:line="240" w:lineRule="atLeast"/>
              <w:contextualSpacing/>
              <w:jc w:val="both"/>
              <w:rPr>
                <w:rFonts w:cstheme="minorHAnsi"/>
                <w:b/>
                <w:sz w:val="20"/>
                <w:szCs w:val="20"/>
                <w:u w:val="single"/>
              </w:rPr>
            </w:pPr>
          </w:p>
        </w:tc>
      </w:tr>
      <w:tr w:rsidR="00321C0C" w:rsidRPr="00321C0C" w14:paraId="7C8773E6" w14:textId="77777777" w:rsidTr="0096628E">
        <w:tc>
          <w:tcPr>
            <w:tcW w:w="10774" w:type="dxa"/>
            <w:gridSpan w:val="7"/>
            <w:shd w:val="clear" w:color="auto" w:fill="F2F2F2" w:themeFill="background1" w:themeFillShade="F2"/>
          </w:tcPr>
          <w:p w14:paraId="59D93307"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V roli dalšího účastníka</w:t>
            </w:r>
          </w:p>
        </w:tc>
      </w:tr>
      <w:tr w:rsidR="00321C0C" w:rsidRPr="00321C0C" w14:paraId="04198493" w14:textId="77777777" w:rsidTr="0096628E">
        <w:tc>
          <w:tcPr>
            <w:tcW w:w="2552" w:type="dxa"/>
            <w:vMerge w:val="restart"/>
            <w:shd w:val="clear" w:color="auto" w:fill="F2F2F2" w:themeFill="background1" w:themeFillShade="F2"/>
          </w:tcPr>
          <w:p w14:paraId="73762F05"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Poskytovatel/Investor</w:t>
            </w:r>
          </w:p>
        </w:tc>
        <w:tc>
          <w:tcPr>
            <w:tcW w:w="4678" w:type="dxa"/>
            <w:vMerge w:val="restart"/>
            <w:shd w:val="clear" w:color="auto" w:fill="F2F2F2" w:themeFill="background1" w:themeFillShade="F2"/>
          </w:tcPr>
          <w:p w14:paraId="17F6C562"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Název projektu</w:t>
            </w:r>
          </w:p>
        </w:tc>
        <w:tc>
          <w:tcPr>
            <w:tcW w:w="3544" w:type="dxa"/>
            <w:gridSpan w:val="5"/>
            <w:shd w:val="clear" w:color="auto" w:fill="F2F2F2" w:themeFill="background1" w:themeFillShade="F2"/>
          </w:tcPr>
          <w:p w14:paraId="70FF1019"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Podpora (v tis. Kč)</w:t>
            </w:r>
          </w:p>
        </w:tc>
      </w:tr>
      <w:tr w:rsidR="00321C0C" w:rsidRPr="00321C0C" w14:paraId="0CC68624" w14:textId="77777777" w:rsidTr="0096628E">
        <w:tc>
          <w:tcPr>
            <w:tcW w:w="2552" w:type="dxa"/>
            <w:vMerge/>
            <w:shd w:val="clear" w:color="auto" w:fill="F2F2F2" w:themeFill="background1" w:themeFillShade="F2"/>
          </w:tcPr>
          <w:p w14:paraId="61FFA7AF" w14:textId="77777777" w:rsidR="00321C0C" w:rsidRPr="00321C0C" w:rsidRDefault="00321C0C" w:rsidP="00321C0C">
            <w:pPr>
              <w:spacing w:line="240" w:lineRule="atLeast"/>
              <w:contextualSpacing/>
              <w:jc w:val="both"/>
              <w:rPr>
                <w:rFonts w:cstheme="minorHAnsi"/>
                <w:b/>
                <w:sz w:val="20"/>
                <w:szCs w:val="20"/>
                <w:u w:val="single"/>
              </w:rPr>
            </w:pPr>
          </w:p>
        </w:tc>
        <w:tc>
          <w:tcPr>
            <w:tcW w:w="4678" w:type="dxa"/>
            <w:vMerge/>
            <w:shd w:val="clear" w:color="auto" w:fill="F2F2F2" w:themeFill="background1" w:themeFillShade="F2"/>
          </w:tcPr>
          <w:p w14:paraId="27D0CBD4"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10284309" w14:textId="77777777" w:rsidR="00321C0C" w:rsidRPr="00321C0C" w:rsidRDefault="00321C0C" w:rsidP="00321C0C">
            <w:pPr>
              <w:spacing w:line="240" w:lineRule="atLeast"/>
              <w:contextualSpacing/>
              <w:jc w:val="both"/>
              <w:rPr>
                <w:rFonts w:cstheme="minorHAnsi"/>
                <w:sz w:val="20"/>
                <w:szCs w:val="20"/>
              </w:rPr>
            </w:pPr>
            <w:r w:rsidRPr="00321C0C">
              <w:rPr>
                <w:rFonts w:cs="Times New Roman"/>
                <w:sz w:val="20"/>
                <w:szCs w:val="20"/>
              </w:rPr>
              <w:t>2014</w:t>
            </w:r>
          </w:p>
        </w:tc>
        <w:tc>
          <w:tcPr>
            <w:tcW w:w="709" w:type="dxa"/>
            <w:shd w:val="clear" w:color="auto" w:fill="F2F2F2" w:themeFill="background1" w:themeFillShade="F2"/>
          </w:tcPr>
          <w:p w14:paraId="73A05A87" w14:textId="77777777" w:rsidR="00321C0C" w:rsidRPr="00321C0C" w:rsidRDefault="00321C0C" w:rsidP="00321C0C">
            <w:pPr>
              <w:spacing w:line="240" w:lineRule="atLeast"/>
              <w:contextualSpacing/>
              <w:jc w:val="both"/>
              <w:rPr>
                <w:rFonts w:cstheme="minorHAnsi"/>
                <w:sz w:val="20"/>
                <w:szCs w:val="20"/>
              </w:rPr>
            </w:pPr>
            <w:r w:rsidRPr="00321C0C">
              <w:rPr>
                <w:rFonts w:cs="Times New Roman"/>
                <w:sz w:val="20"/>
                <w:szCs w:val="20"/>
              </w:rPr>
              <w:t>2015</w:t>
            </w:r>
          </w:p>
        </w:tc>
        <w:tc>
          <w:tcPr>
            <w:tcW w:w="708" w:type="dxa"/>
            <w:shd w:val="clear" w:color="auto" w:fill="F2F2F2" w:themeFill="background1" w:themeFillShade="F2"/>
          </w:tcPr>
          <w:p w14:paraId="69BDD7F7" w14:textId="77777777" w:rsidR="00321C0C" w:rsidRPr="00321C0C" w:rsidRDefault="00321C0C" w:rsidP="00321C0C">
            <w:pPr>
              <w:spacing w:line="240" w:lineRule="atLeast"/>
              <w:contextualSpacing/>
              <w:jc w:val="both"/>
              <w:rPr>
                <w:rFonts w:cstheme="minorHAnsi"/>
                <w:sz w:val="20"/>
                <w:szCs w:val="20"/>
              </w:rPr>
            </w:pPr>
            <w:r w:rsidRPr="00321C0C">
              <w:rPr>
                <w:rFonts w:cs="Times New Roman"/>
                <w:sz w:val="20"/>
                <w:szCs w:val="20"/>
              </w:rPr>
              <w:t>2016</w:t>
            </w:r>
          </w:p>
        </w:tc>
        <w:tc>
          <w:tcPr>
            <w:tcW w:w="709" w:type="dxa"/>
            <w:shd w:val="clear" w:color="auto" w:fill="F2F2F2" w:themeFill="background1" w:themeFillShade="F2"/>
          </w:tcPr>
          <w:p w14:paraId="3313005D" w14:textId="77777777" w:rsidR="00321C0C" w:rsidRPr="00321C0C" w:rsidRDefault="00321C0C" w:rsidP="00321C0C">
            <w:pPr>
              <w:spacing w:line="240" w:lineRule="atLeast"/>
              <w:contextualSpacing/>
              <w:jc w:val="both"/>
              <w:rPr>
                <w:rFonts w:cstheme="minorHAnsi"/>
                <w:sz w:val="20"/>
                <w:szCs w:val="20"/>
              </w:rPr>
            </w:pPr>
            <w:r w:rsidRPr="00321C0C">
              <w:rPr>
                <w:rFonts w:cs="Times New Roman"/>
                <w:sz w:val="20"/>
                <w:szCs w:val="20"/>
              </w:rPr>
              <w:t>2017</w:t>
            </w:r>
          </w:p>
        </w:tc>
        <w:tc>
          <w:tcPr>
            <w:tcW w:w="709" w:type="dxa"/>
            <w:shd w:val="clear" w:color="auto" w:fill="F2F2F2" w:themeFill="background1" w:themeFillShade="F2"/>
          </w:tcPr>
          <w:p w14:paraId="7B01BD42" w14:textId="77777777" w:rsidR="00321C0C" w:rsidRPr="00321C0C" w:rsidRDefault="00321C0C" w:rsidP="00321C0C">
            <w:pPr>
              <w:spacing w:line="240" w:lineRule="atLeast"/>
              <w:contextualSpacing/>
              <w:jc w:val="both"/>
              <w:rPr>
                <w:rFonts w:cstheme="minorHAnsi"/>
                <w:sz w:val="20"/>
                <w:szCs w:val="20"/>
              </w:rPr>
            </w:pPr>
            <w:r w:rsidRPr="00321C0C">
              <w:rPr>
                <w:rFonts w:cs="Times New Roman"/>
                <w:sz w:val="20"/>
                <w:szCs w:val="20"/>
              </w:rPr>
              <w:t>2018</w:t>
            </w:r>
          </w:p>
        </w:tc>
      </w:tr>
      <w:tr w:rsidR="00321C0C" w:rsidRPr="00321C0C" w14:paraId="04924AB1" w14:textId="77777777" w:rsidTr="0096628E">
        <w:tc>
          <w:tcPr>
            <w:tcW w:w="2552" w:type="dxa"/>
            <w:shd w:val="clear" w:color="auto" w:fill="F2F2F2" w:themeFill="background1" w:themeFillShade="F2"/>
          </w:tcPr>
          <w:p w14:paraId="3714BB9D" w14:textId="77777777" w:rsidR="00321C0C" w:rsidRPr="00321C0C" w:rsidRDefault="00321C0C" w:rsidP="00321C0C">
            <w:pPr>
              <w:spacing w:line="240" w:lineRule="atLeast"/>
              <w:contextualSpacing/>
              <w:jc w:val="both"/>
              <w:rPr>
                <w:rFonts w:cstheme="minorHAnsi"/>
                <w:b/>
                <w:sz w:val="20"/>
                <w:szCs w:val="20"/>
                <w:u w:val="single"/>
              </w:rPr>
            </w:pPr>
          </w:p>
        </w:tc>
        <w:tc>
          <w:tcPr>
            <w:tcW w:w="4678" w:type="dxa"/>
            <w:shd w:val="clear" w:color="auto" w:fill="F2F2F2" w:themeFill="background1" w:themeFillShade="F2"/>
          </w:tcPr>
          <w:p w14:paraId="316E5A24"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7184E454"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12384EC6" w14:textId="77777777" w:rsidR="00321C0C" w:rsidRPr="00321C0C" w:rsidRDefault="00321C0C" w:rsidP="00321C0C">
            <w:pPr>
              <w:spacing w:line="240" w:lineRule="atLeast"/>
              <w:contextualSpacing/>
              <w:jc w:val="both"/>
              <w:rPr>
                <w:rFonts w:cstheme="minorHAnsi"/>
                <w:b/>
                <w:sz w:val="20"/>
                <w:szCs w:val="20"/>
                <w:u w:val="single"/>
              </w:rPr>
            </w:pPr>
          </w:p>
        </w:tc>
        <w:tc>
          <w:tcPr>
            <w:tcW w:w="708" w:type="dxa"/>
            <w:shd w:val="clear" w:color="auto" w:fill="F2F2F2" w:themeFill="background1" w:themeFillShade="F2"/>
          </w:tcPr>
          <w:p w14:paraId="1532B6E8"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559FA5DE"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68AB0957" w14:textId="77777777" w:rsidR="00321C0C" w:rsidRPr="00321C0C" w:rsidRDefault="00321C0C" w:rsidP="00321C0C">
            <w:pPr>
              <w:spacing w:line="240" w:lineRule="atLeast"/>
              <w:contextualSpacing/>
              <w:jc w:val="both"/>
              <w:rPr>
                <w:rFonts w:cstheme="minorHAnsi"/>
                <w:b/>
                <w:sz w:val="20"/>
                <w:szCs w:val="20"/>
                <w:u w:val="single"/>
              </w:rPr>
            </w:pPr>
          </w:p>
        </w:tc>
      </w:tr>
      <w:tr w:rsidR="00321C0C" w:rsidRPr="00321C0C" w14:paraId="7AA46D60" w14:textId="77777777" w:rsidTr="0096628E">
        <w:tc>
          <w:tcPr>
            <w:tcW w:w="2552" w:type="dxa"/>
            <w:shd w:val="clear" w:color="auto" w:fill="F2F2F2" w:themeFill="background1" w:themeFillShade="F2"/>
          </w:tcPr>
          <w:p w14:paraId="7B4813FB" w14:textId="77777777" w:rsidR="00321C0C" w:rsidRPr="00321C0C" w:rsidRDefault="00321C0C" w:rsidP="00321C0C">
            <w:pPr>
              <w:spacing w:line="240" w:lineRule="atLeast"/>
              <w:contextualSpacing/>
              <w:jc w:val="both"/>
              <w:rPr>
                <w:rFonts w:cstheme="minorHAnsi"/>
                <w:b/>
                <w:sz w:val="20"/>
                <w:szCs w:val="20"/>
                <w:u w:val="single"/>
              </w:rPr>
            </w:pPr>
          </w:p>
        </w:tc>
        <w:tc>
          <w:tcPr>
            <w:tcW w:w="4678" w:type="dxa"/>
            <w:shd w:val="clear" w:color="auto" w:fill="F2F2F2" w:themeFill="background1" w:themeFillShade="F2"/>
          </w:tcPr>
          <w:p w14:paraId="1733806B"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2DD242A4"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76536923" w14:textId="77777777" w:rsidR="00321C0C" w:rsidRPr="00321C0C" w:rsidRDefault="00321C0C" w:rsidP="00321C0C">
            <w:pPr>
              <w:spacing w:line="240" w:lineRule="atLeast"/>
              <w:contextualSpacing/>
              <w:jc w:val="both"/>
              <w:rPr>
                <w:rFonts w:cstheme="minorHAnsi"/>
                <w:b/>
                <w:sz w:val="20"/>
                <w:szCs w:val="20"/>
                <w:u w:val="single"/>
              </w:rPr>
            </w:pPr>
          </w:p>
        </w:tc>
        <w:tc>
          <w:tcPr>
            <w:tcW w:w="708" w:type="dxa"/>
            <w:shd w:val="clear" w:color="auto" w:fill="F2F2F2" w:themeFill="background1" w:themeFillShade="F2"/>
          </w:tcPr>
          <w:p w14:paraId="78F56291"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78D34271"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5BA8ED4C" w14:textId="77777777" w:rsidR="00321C0C" w:rsidRPr="00321C0C" w:rsidRDefault="00321C0C" w:rsidP="00321C0C">
            <w:pPr>
              <w:spacing w:line="240" w:lineRule="atLeast"/>
              <w:contextualSpacing/>
              <w:jc w:val="both"/>
              <w:rPr>
                <w:rFonts w:cstheme="minorHAnsi"/>
                <w:b/>
                <w:sz w:val="20"/>
                <w:szCs w:val="20"/>
                <w:u w:val="single"/>
              </w:rPr>
            </w:pPr>
          </w:p>
        </w:tc>
      </w:tr>
      <w:tr w:rsidR="00321C0C" w:rsidRPr="00321C0C" w14:paraId="7D55744E" w14:textId="77777777" w:rsidTr="0096628E">
        <w:tc>
          <w:tcPr>
            <w:tcW w:w="7230" w:type="dxa"/>
            <w:gridSpan w:val="2"/>
            <w:shd w:val="clear" w:color="auto" w:fill="F2F2F2" w:themeFill="background1" w:themeFillShade="F2"/>
          </w:tcPr>
          <w:p w14:paraId="1104E3E1" w14:textId="77777777" w:rsidR="00321C0C" w:rsidRPr="00321C0C" w:rsidRDefault="00321C0C" w:rsidP="00321C0C">
            <w:pPr>
              <w:spacing w:line="240" w:lineRule="atLeast"/>
              <w:contextualSpacing/>
              <w:jc w:val="both"/>
              <w:rPr>
                <w:rFonts w:cstheme="minorHAnsi"/>
                <w:sz w:val="20"/>
                <w:szCs w:val="20"/>
              </w:rPr>
            </w:pPr>
            <w:r w:rsidRPr="00321C0C">
              <w:rPr>
                <w:rFonts w:cstheme="minorHAnsi"/>
                <w:sz w:val="20"/>
                <w:szCs w:val="20"/>
              </w:rPr>
              <w:t>Celkem</w:t>
            </w:r>
          </w:p>
        </w:tc>
        <w:tc>
          <w:tcPr>
            <w:tcW w:w="709" w:type="dxa"/>
            <w:shd w:val="clear" w:color="auto" w:fill="F2F2F2" w:themeFill="background1" w:themeFillShade="F2"/>
          </w:tcPr>
          <w:p w14:paraId="03A6E6B7"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34EDA1E5" w14:textId="77777777" w:rsidR="00321C0C" w:rsidRPr="00321C0C" w:rsidRDefault="00321C0C" w:rsidP="00321C0C">
            <w:pPr>
              <w:spacing w:line="240" w:lineRule="atLeast"/>
              <w:contextualSpacing/>
              <w:jc w:val="both"/>
              <w:rPr>
                <w:rFonts w:cstheme="minorHAnsi"/>
                <w:b/>
                <w:sz w:val="20"/>
                <w:szCs w:val="20"/>
                <w:u w:val="single"/>
              </w:rPr>
            </w:pPr>
          </w:p>
        </w:tc>
        <w:tc>
          <w:tcPr>
            <w:tcW w:w="708" w:type="dxa"/>
            <w:shd w:val="clear" w:color="auto" w:fill="F2F2F2" w:themeFill="background1" w:themeFillShade="F2"/>
          </w:tcPr>
          <w:p w14:paraId="1B689680"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16626AD8" w14:textId="77777777" w:rsidR="00321C0C" w:rsidRPr="00321C0C" w:rsidRDefault="00321C0C" w:rsidP="00321C0C">
            <w:pPr>
              <w:spacing w:line="240" w:lineRule="atLeast"/>
              <w:contextualSpacing/>
              <w:jc w:val="both"/>
              <w:rPr>
                <w:rFonts w:cstheme="minorHAnsi"/>
                <w:b/>
                <w:sz w:val="20"/>
                <w:szCs w:val="20"/>
                <w:u w:val="single"/>
              </w:rPr>
            </w:pPr>
          </w:p>
        </w:tc>
        <w:tc>
          <w:tcPr>
            <w:tcW w:w="709" w:type="dxa"/>
            <w:shd w:val="clear" w:color="auto" w:fill="F2F2F2" w:themeFill="background1" w:themeFillShade="F2"/>
          </w:tcPr>
          <w:p w14:paraId="58A998BD" w14:textId="77777777" w:rsidR="00321C0C" w:rsidRPr="00321C0C" w:rsidRDefault="00321C0C" w:rsidP="00321C0C">
            <w:pPr>
              <w:spacing w:line="240" w:lineRule="atLeast"/>
              <w:contextualSpacing/>
              <w:jc w:val="both"/>
              <w:rPr>
                <w:rFonts w:cstheme="minorHAnsi"/>
                <w:b/>
                <w:sz w:val="20"/>
                <w:szCs w:val="20"/>
                <w:u w:val="single"/>
              </w:rPr>
            </w:pPr>
          </w:p>
        </w:tc>
      </w:tr>
    </w:tbl>
    <w:p w14:paraId="525BD8E2" w14:textId="77777777" w:rsidR="00321C0C" w:rsidRPr="00321C0C" w:rsidRDefault="00321C0C" w:rsidP="00321C0C">
      <w:pPr>
        <w:spacing w:line="240" w:lineRule="atLeast"/>
        <w:jc w:val="both"/>
        <w:rPr>
          <w:rFonts w:cstheme="minorHAnsi"/>
          <w:sz w:val="20"/>
          <w:szCs w:val="20"/>
          <w:lang w:val="cs-CZ"/>
        </w:rPr>
      </w:pPr>
    </w:p>
    <w:p w14:paraId="289C3C61" w14:textId="77777777" w:rsidR="00321C0C" w:rsidRPr="00321C0C" w:rsidRDefault="00321C0C" w:rsidP="00321C0C">
      <w:pPr>
        <w:spacing w:line="240" w:lineRule="atLeast"/>
        <w:jc w:val="both"/>
        <w:rPr>
          <w:rFonts w:cstheme="minorHAnsi"/>
          <w:sz w:val="20"/>
          <w:szCs w:val="20"/>
          <w:lang w:val="cs-CZ"/>
        </w:rPr>
      </w:pPr>
    </w:p>
    <w:p w14:paraId="0CC52CC2" w14:textId="77777777" w:rsidR="00321C0C" w:rsidRPr="00321C0C" w:rsidRDefault="00321C0C" w:rsidP="00321C0C">
      <w:pPr>
        <w:spacing w:line="240" w:lineRule="atLeast"/>
        <w:jc w:val="both"/>
        <w:rPr>
          <w:rFonts w:cstheme="minorHAnsi"/>
          <w:sz w:val="20"/>
          <w:szCs w:val="20"/>
          <w:lang w:val="cs-CZ"/>
        </w:rPr>
      </w:pPr>
    </w:p>
    <w:p w14:paraId="0352C7F3" w14:textId="77777777" w:rsidR="00321C0C" w:rsidRPr="00321C0C" w:rsidRDefault="00321C0C" w:rsidP="00321C0C">
      <w:pPr>
        <w:spacing w:line="240" w:lineRule="atLeast"/>
        <w:jc w:val="both"/>
        <w:rPr>
          <w:rFonts w:cstheme="minorHAnsi"/>
          <w:sz w:val="20"/>
          <w:szCs w:val="20"/>
          <w:lang w:val="cs-CZ"/>
        </w:rPr>
      </w:pPr>
    </w:p>
    <w:p w14:paraId="19CD74F8" w14:textId="77777777" w:rsidR="00321C0C" w:rsidRPr="00321C0C" w:rsidRDefault="00321C0C" w:rsidP="00321C0C">
      <w:pPr>
        <w:spacing w:line="240" w:lineRule="atLeast"/>
        <w:jc w:val="both"/>
        <w:rPr>
          <w:rFonts w:cstheme="minorHAnsi"/>
          <w:sz w:val="20"/>
          <w:szCs w:val="20"/>
          <w:lang w:val="cs-CZ"/>
        </w:rPr>
      </w:pPr>
    </w:p>
    <w:p w14:paraId="7A0D10B4" w14:textId="77777777" w:rsidR="00321C0C" w:rsidRPr="00321C0C" w:rsidRDefault="00321C0C" w:rsidP="00321C0C">
      <w:pPr>
        <w:spacing w:line="240" w:lineRule="atLeast"/>
        <w:jc w:val="both"/>
        <w:rPr>
          <w:rFonts w:cstheme="minorHAnsi"/>
          <w:sz w:val="20"/>
          <w:szCs w:val="20"/>
          <w:lang w:val="cs-CZ"/>
        </w:rPr>
      </w:pPr>
    </w:p>
    <w:p w14:paraId="6246CC97" w14:textId="77777777" w:rsidR="00321C0C" w:rsidRPr="00321C0C" w:rsidRDefault="00321C0C" w:rsidP="00321C0C">
      <w:pPr>
        <w:spacing w:line="240" w:lineRule="atLeast"/>
        <w:jc w:val="both"/>
        <w:rPr>
          <w:rFonts w:cstheme="minorHAnsi"/>
          <w:sz w:val="20"/>
          <w:szCs w:val="20"/>
          <w:lang w:val="cs-CZ"/>
        </w:rPr>
      </w:pPr>
    </w:p>
    <w:p w14:paraId="512398CB" w14:textId="77777777" w:rsidR="00321C0C" w:rsidRPr="00321C0C" w:rsidRDefault="00321C0C" w:rsidP="00321C0C">
      <w:pPr>
        <w:spacing w:line="240" w:lineRule="atLeast"/>
        <w:jc w:val="both"/>
        <w:rPr>
          <w:rFonts w:cstheme="minorHAnsi"/>
          <w:sz w:val="20"/>
          <w:szCs w:val="20"/>
          <w:lang w:val="cs-CZ"/>
        </w:rPr>
      </w:pPr>
    </w:p>
    <w:p w14:paraId="5DA978B7" w14:textId="77777777" w:rsidR="00321C0C" w:rsidRPr="00321C0C" w:rsidRDefault="00321C0C" w:rsidP="00321C0C">
      <w:pPr>
        <w:spacing w:line="240" w:lineRule="atLeast"/>
        <w:jc w:val="both"/>
        <w:rPr>
          <w:rFonts w:cstheme="minorHAnsi"/>
          <w:sz w:val="20"/>
          <w:szCs w:val="20"/>
          <w:lang w:val="cs-CZ"/>
        </w:rPr>
      </w:pPr>
    </w:p>
    <w:p w14:paraId="4988DD92" w14:textId="77777777" w:rsidR="00321C0C" w:rsidRPr="00321C0C" w:rsidRDefault="00321C0C" w:rsidP="00321C0C">
      <w:pPr>
        <w:spacing w:line="240" w:lineRule="atLeast"/>
        <w:jc w:val="both"/>
        <w:rPr>
          <w:rFonts w:cstheme="minorHAnsi"/>
          <w:lang w:val="cs-CZ"/>
        </w:rPr>
      </w:pPr>
    </w:p>
    <w:p w14:paraId="22A902C2" w14:textId="77777777" w:rsidR="00321C0C" w:rsidRPr="00321C0C" w:rsidRDefault="00321C0C" w:rsidP="00321C0C">
      <w:pPr>
        <w:widowControl w:val="0"/>
        <w:autoSpaceDE w:val="0"/>
        <w:autoSpaceDN w:val="0"/>
        <w:adjustRightInd w:val="0"/>
        <w:contextualSpacing/>
        <w:jc w:val="both"/>
        <w:rPr>
          <w:rFonts w:eastAsia="OpenSymbol" w:cs="Times New Roman"/>
          <w:b/>
          <w:kern w:val="1"/>
          <w:lang w:val="cs-CZ"/>
        </w:rPr>
      </w:pPr>
      <w:r w:rsidRPr="00321C0C">
        <w:rPr>
          <w:rFonts w:eastAsia="OpenSymbol" w:cs="Times New Roman"/>
          <w:b/>
          <w:kern w:val="1"/>
          <w:lang w:val="cs-CZ"/>
        </w:rPr>
        <w:lastRenderedPageBreak/>
        <w:t>4.24 Systém pořizování a obnovy přístrojů a vybavení pro VaVaI</w:t>
      </w:r>
    </w:p>
    <w:p w14:paraId="48DB825A" w14:textId="77777777" w:rsidR="00321C0C" w:rsidRPr="00321C0C" w:rsidRDefault="00321C0C" w:rsidP="00321C0C">
      <w:pPr>
        <w:widowControl w:val="0"/>
        <w:autoSpaceDE w:val="0"/>
        <w:autoSpaceDN w:val="0"/>
        <w:adjustRightInd w:val="0"/>
        <w:contextualSpacing/>
        <w:jc w:val="both"/>
        <w:rPr>
          <w:rFonts w:eastAsia="OpenSymbol" w:cs="Times New Roman"/>
          <w:b/>
          <w:kern w:val="1"/>
          <w:sz w:val="22"/>
          <w:szCs w:val="22"/>
          <w:lang w:val="cs-CZ"/>
        </w:rPr>
      </w:pPr>
    </w:p>
    <w:p w14:paraId="2824812D" w14:textId="77777777" w:rsidR="00321C0C" w:rsidRPr="00321C0C" w:rsidRDefault="00321C0C" w:rsidP="00321C0C">
      <w:pPr>
        <w:widowControl w:val="0"/>
        <w:autoSpaceDE w:val="0"/>
        <w:autoSpaceDN w:val="0"/>
        <w:adjustRightInd w:val="0"/>
        <w:contextualSpacing/>
        <w:jc w:val="both"/>
        <w:rPr>
          <w:rFonts w:cs="Times New Roman"/>
          <w:sz w:val="22"/>
          <w:szCs w:val="22"/>
          <w:lang w:val="cs-CZ"/>
        </w:rPr>
      </w:pPr>
      <w:r w:rsidRPr="00321C0C">
        <w:rPr>
          <w:rFonts w:eastAsia="OpenSymbol" w:cs="Times New Roman"/>
          <w:kern w:val="1"/>
          <w:sz w:val="22"/>
          <w:szCs w:val="22"/>
          <w:lang w:val="cs-CZ"/>
        </w:rPr>
        <w:t>4.24.1 Přehled výdajů/nákladů na výzkumnou infrastrukturu a vybavení za hodnocené období 2014 až 2018 (včetně souvisejících neinvestičních a osobních nákladů).</w:t>
      </w:r>
    </w:p>
    <w:p w14:paraId="1B7C63F5" w14:textId="77777777" w:rsidR="00321C0C" w:rsidRPr="00321C0C" w:rsidRDefault="00321C0C" w:rsidP="00321C0C">
      <w:pPr>
        <w:jc w:val="both"/>
        <w:rPr>
          <w:rFonts w:cs="Times New Roman"/>
          <w:sz w:val="22"/>
          <w:szCs w:val="22"/>
          <w:lang w:val="cs-CZ"/>
        </w:rPr>
      </w:pPr>
    </w:p>
    <w:tbl>
      <w:tblPr>
        <w:tblStyle w:val="Mkatabulky2"/>
        <w:tblW w:w="9197" w:type="dxa"/>
        <w:jc w:val="center"/>
        <w:shd w:val="clear" w:color="auto" w:fill="F2F2F2" w:themeFill="background1" w:themeFillShade="F2"/>
        <w:tblLook w:val="04A0" w:firstRow="1" w:lastRow="0" w:firstColumn="1" w:lastColumn="0" w:noHBand="0" w:noVBand="1"/>
      </w:tblPr>
      <w:tblGrid>
        <w:gridCol w:w="3256"/>
        <w:gridCol w:w="963"/>
        <w:gridCol w:w="964"/>
        <w:gridCol w:w="964"/>
        <w:gridCol w:w="964"/>
        <w:gridCol w:w="964"/>
        <w:gridCol w:w="1122"/>
      </w:tblGrid>
      <w:tr w:rsidR="00321C0C" w:rsidRPr="00321C0C" w14:paraId="55FD4A95" w14:textId="77777777" w:rsidTr="0096628E">
        <w:trPr>
          <w:jc w:val="center"/>
        </w:trPr>
        <w:tc>
          <w:tcPr>
            <w:tcW w:w="3256" w:type="dxa"/>
            <w:shd w:val="clear" w:color="auto" w:fill="F2F2F2" w:themeFill="background1" w:themeFillShade="F2"/>
            <w:vAlign w:val="center"/>
          </w:tcPr>
          <w:p w14:paraId="0E1361DC"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r w:rsidRPr="00321C0C">
              <w:rPr>
                <w:rFonts w:eastAsia="OpenSymbol" w:cstheme="minorHAnsi"/>
                <w:kern w:val="1"/>
                <w:sz w:val="20"/>
                <w:szCs w:val="20"/>
              </w:rPr>
              <w:t>Náklady/výdaje v tis. Kč/rok</w:t>
            </w:r>
          </w:p>
        </w:tc>
        <w:tc>
          <w:tcPr>
            <w:tcW w:w="963" w:type="dxa"/>
            <w:shd w:val="clear" w:color="auto" w:fill="F2F2F2" w:themeFill="background1" w:themeFillShade="F2"/>
          </w:tcPr>
          <w:p w14:paraId="189DDCB6"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r w:rsidRPr="00321C0C">
              <w:rPr>
                <w:rFonts w:cs="Times New Roman"/>
                <w:sz w:val="20"/>
                <w:szCs w:val="20"/>
              </w:rPr>
              <w:t>2014</w:t>
            </w:r>
          </w:p>
        </w:tc>
        <w:tc>
          <w:tcPr>
            <w:tcW w:w="964" w:type="dxa"/>
            <w:shd w:val="clear" w:color="auto" w:fill="F2F2F2" w:themeFill="background1" w:themeFillShade="F2"/>
          </w:tcPr>
          <w:p w14:paraId="7B28F6E6"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r w:rsidRPr="00321C0C">
              <w:rPr>
                <w:rFonts w:cs="Times New Roman"/>
                <w:sz w:val="20"/>
                <w:szCs w:val="20"/>
              </w:rPr>
              <w:t>2015</w:t>
            </w:r>
          </w:p>
        </w:tc>
        <w:tc>
          <w:tcPr>
            <w:tcW w:w="964" w:type="dxa"/>
            <w:shd w:val="clear" w:color="auto" w:fill="F2F2F2" w:themeFill="background1" w:themeFillShade="F2"/>
          </w:tcPr>
          <w:p w14:paraId="6D94CC04"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r w:rsidRPr="00321C0C">
              <w:rPr>
                <w:rFonts w:cs="Times New Roman"/>
                <w:sz w:val="20"/>
                <w:szCs w:val="20"/>
              </w:rPr>
              <w:t>2016</w:t>
            </w:r>
          </w:p>
        </w:tc>
        <w:tc>
          <w:tcPr>
            <w:tcW w:w="964" w:type="dxa"/>
            <w:shd w:val="clear" w:color="auto" w:fill="F2F2F2" w:themeFill="background1" w:themeFillShade="F2"/>
          </w:tcPr>
          <w:p w14:paraId="0063960A"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r w:rsidRPr="00321C0C">
              <w:rPr>
                <w:rFonts w:cs="Times New Roman"/>
                <w:sz w:val="20"/>
                <w:szCs w:val="20"/>
              </w:rPr>
              <w:t>2017</w:t>
            </w:r>
          </w:p>
        </w:tc>
        <w:tc>
          <w:tcPr>
            <w:tcW w:w="964" w:type="dxa"/>
            <w:shd w:val="clear" w:color="auto" w:fill="F2F2F2" w:themeFill="background1" w:themeFillShade="F2"/>
          </w:tcPr>
          <w:p w14:paraId="077FB65B"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r w:rsidRPr="00321C0C">
              <w:rPr>
                <w:rFonts w:cs="Times New Roman"/>
                <w:sz w:val="20"/>
                <w:szCs w:val="20"/>
              </w:rPr>
              <w:t>2018</w:t>
            </w:r>
          </w:p>
        </w:tc>
        <w:tc>
          <w:tcPr>
            <w:tcW w:w="1122" w:type="dxa"/>
            <w:shd w:val="clear" w:color="auto" w:fill="F2F2F2" w:themeFill="background1" w:themeFillShade="F2"/>
            <w:vAlign w:val="center"/>
          </w:tcPr>
          <w:p w14:paraId="498387CB"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r w:rsidRPr="00321C0C">
              <w:rPr>
                <w:rFonts w:eastAsia="OpenSymbol" w:cstheme="minorHAnsi"/>
                <w:kern w:val="1"/>
                <w:sz w:val="20"/>
                <w:szCs w:val="20"/>
              </w:rPr>
              <w:t>Hodnota majetku celkem</w:t>
            </w:r>
          </w:p>
        </w:tc>
      </w:tr>
      <w:tr w:rsidR="00321C0C" w:rsidRPr="00321C0C" w14:paraId="08ABF846" w14:textId="77777777" w:rsidTr="0096628E">
        <w:trPr>
          <w:jc w:val="center"/>
        </w:trPr>
        <w:tc>
          <w:tcPr>
            <w:tcW w:w="3256" w:type="dxa"/>
            <w:shd w:val="clear" w:color="auto" w:fill="F2F2F2" w:themeFill="background1" w:themeFillShade="F2"/>
            <w:vAlign w:val="center"/>
          </w:tcPr>
          <w:p w14:paraId="71230A7F"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r w:rsidRPr="00321C0C">
              <w:rPr>
                <w:rFonts w:eastAsia="OpenSymbol" w:cstheme="minorHAnsi"/>
                <w:kern w:val="1"/>
                <w:sz w:val="20"/>
                <w:szCs w:val="20"/>
              </w:rPr>
              <w:t>Náklady/výdaje související s pořízením drobného dlouhodobého majetku na VaVaI celkem</w:t>
            </w:r>
          </w:p>
        </w:tc>
        <w:tc>
          <w:tcPr>
            <w:tcW w:w="963" w:type="dxa"/>
            <w:shd w:val="clear" w:color="auto" w:fill="F2F2F2" w:themeFill="background1" w:themeFillShade="F2"/>
            <w:vAlign w:val="center"/>
          </w:tcPr>
          <w:p w14:paraId="68569834"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964" w:type="dxa"/>
            <w:shd w:val="clear" w:color="auto" w:fill="F2F2F2" w:themeFill="background1" w:themeFillShade="F2"/>
            <w:vAlign w:val="center"/>
          </w:tcPr>
          <w:p w14:paraId="5D19FCA6"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964" w:type="dxa"/>
            <w:shd w:val="clear" w:color="auto" w:fill="F2F2F2" w:themeFill="background1" w:themeFillShade="F2"/>
            <w:vAlign w:val="center"/>
          </w:tcPr>
          <w:p w14:paraId="48FE4C83"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964" w:type="dxa"/>
            <w:shd w:val="clear" w:color="auto" w:fill="F2F2F2" w:themeFill="background1" w:themeFillShade="F2"/>
            <w:vAlign w:val="center"/>
          </w:tcPr>
          <w:p w14:paraId="5ECA201E"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964" w:type="dxa"/>
            <w:shd w:val="clear" w:color="auto" w:fill="F2F2F2" w:themeFill="background1" w:themeFillShade="F2"/>
            <w:vAlign w:val="center"/>
          </w:tcPr>
          <w:p w14:paraId="0B3F19A2"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1122" w:type="dxa"/>
            <w:shd w:val="clear" w:color="auto" w:fill="F2F2F2" w:themeFill="background1" w:themeFillShade="F2"/>
            <w:vAlign w:val="center"/>
          </w:tcPr>
          <w:p w14:paraId="0EC72390"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r>
      <w:tr w:rsidR="00321C0C" w:rsidRPr="00321C0C" w14:paraId="43D8590D" w14:textId="77777777" w:rsidTr="0096628E">
        <w:trPr>
          <w:jc w:val="center"/>
        </w:trPr>
        <w:tc>
          <w:tcPr>
            <w:tcW w:w="3256" w:type="dxa"/>
            <w:shd w:val="clear" w:color="auto" w:fill="F2F2F2" w:themeFill="background1" w:themeFillShade="F2"/>
            <w:vAlign w:val="center"/>
          </w:tcPr>
          <w:p w14:paraId="4860484E"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r w:rsidRPr="00321C0C">
              <w:rPr>
                <w:rFonts w:eastAsia="OpenSymbol" w:cstheme="minorHAnsi"/>
                <w:kern w:val="1"/>
                <w:sz w:val="20"/>
                <w:szCs w:val="20"/>
              </w:rPr>
              <w:t>Náklady na opravy a udržování vybavení</w:t>
            </w:r>
          </w:p>
        </w:tc>
        <w:tc>
          <w:tcPr>
            <w:tcW w:w="963" w:type="dxa"/>
            <w:shd w:val="clear" w:color="auto" w:fill="F2F2F2" w:themeFill="background1" w:themeFillShade="F2"/>
            <w:vAlign w:val="center"/>
          </w:tcPr>
          <w:p w14:paraId="30C2BEFD"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964" w:type="dxa"/>
            <w:shd w:val="clear" w:color="auto" w:fill="F2F2F2" w:themeFill="background1" w:themeFillShade="F2"/>
            <w:vAlign w:val="center"/>
          </w:tcPr>
          <w:p w14:paraId="3A25C3E8"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964" w:type="dxa"/>
            <w:shd w:val="clear" w:color="auto" w:fill="F2F2F2" w:themeFill="background1" w:themeFillShade="F2"/>
            <w:vAlign w:val="center"/>
          </w:tcPr>
          <w:p w14:paraId="55D96682"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964" w:type="dxa"/>
            <w:shd w:val="clear" w:color="auto" w:fill="F2F2F2" w:themeFill="background1" w:themeFillShade="F2"/>
            <w:vAlign w:val="center"/>
          </w:tcPr>
          <w:p w14:paraId="103E7128"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964" w:type="dxa"/>
            <w:shd w:val="clear" w:color="auto" w:fill="F2F2F2" w:themeFill="background1" w:themeFillShade="F2"/>
            <w:vAlign w:val="center"/>
          </w:tcPr>
          <w:p w14:paraId="4687BC89"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1122" w:type="dxa"/>
            <w:shd w:val="clear" w:color="auto" w:fill="F2F2F2" w:themeFill="background1" w:themeFillShade="F2"/>
            <w:vAlign w:val="center"/>
          </w:tcPr>
          <w:p w14:paraId="6058A5AA"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r>
      <w:tr w:rsidR="00321C0C" w:rsidRPr="00321C0C" w14:paraId="09854A28" w14:textId="77777777" w:rsidTr="0096628E">
        <w:trPr>
          <w:jc w:val="center"/>
        </w:trPr>
        <w:tc>
          <w:tcPr>
            <w:tcW w:w="9197" w:type="dxa"/>
            <w:gridSpan w:val="7"/>
            <w:shd w:val="clear" w:color="auto" w:fill="F2F2F2" w:themeFill="background1" w:themeFillShade="F2"/>
          </w:tcPr>
          <w:p w14:paraId="5DDD2FF2"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r w:rsidRPr="00321C0C">
              <w:rPr>
                <w:rFonts w:eastAsia="OpenSymbol" w:cstheme="minorHAnsi"/>
                <w:kern w:val="1"/>
                <w:sz w:val="20"/>
                <w:szCs w:val="20"/>
              </w:rPr>
              <w:t>Pořízení dlouhodobého hmotného (DH) a dlouhodobého nehmotného (DN) majetku na VaVaI (investice)</w:t>
            </w:r>
          </w:p>
        </w:tc>
      </w:tr>
      <w:tr w:rsidR="00321C0C" w:rsidRPr="00321C0C" w14:paraId="610E9EE1" w14:textId="77777777" w:rsidTr="0096628E">
        <w:trPr>
          <w:jc w:val="center"/>
        </w:trPr>
        <w:tc>
          <w:tcPr>
            <w:tcW w:w="3256" w:type="dxa"/>
            <w:shd w:val="clear" w:color="auto" w:fill="F2F2F2" w:themeFill="background1" w:themeFillShade="F2"/>
          </w:tcPr>
          <w:p w14:paraId="597AA1F1"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r w:rsidRPr="00321C0C">
              <w:rPr>
                <w:rFonts w:eastAsia="OpenSymbol" w:cstheme="minorHAnsi"/>
                <w:kern w:val="1"/>
                <w:sz w:val="20"/>
                <w:szCs w:val="20"/>
              </w:rPr>
              <w:t>Z toho software</w:t>
            </w:r>
          </w:p>
        </w:tc>
        <w:tc>
          <w:tcPr>
            <w:tcW w:w="963" w:type="dxa"/>
            <w:shd w:val="clear" w:color="auto" w:fill="F2F2F2" w:themeFill="background1" w:themeFillShade="F2"/>
          </w:tcPr>
          <w:p w14:paraId="50A38A58"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964" w:type="dxa"/>
            <w:shd w:val="clear" w:color="auto" w:fill="F2F2F2" w:themeFill="background1" w:themeFillShade="F2"/>
          </w:tcPr>
          <w:p w14:paraId="2CFF2C1C"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964" w:type="dxa"/>
            <w:shd w:val="clear" w:color="auto" w:fill="F2F2F2" w:themeFill="background1" w:themeFillShade="F2"/>
          </w:tcPr>
          <w:p w14:paraId="544BF55A"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964" w:type="dxa"/>
            <w:shd w:val="clear" w:color="auto" w:fill="F2F2F2" w:themeFill="background1" w:themeFillShade="F2"/>
          </w:tcPr>
          <w:p w14:paraId="01106CF8"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964" w:type="dxa"/>
            <w:shd w:val="clear" w:color="auto" w:fill="F2F2F2" w:themeFill="background1" w:themeFillShade="F2"/>
          </w:tcPr>
          <w:p w14:paraId="6E310F74"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1122" w:type="dxa"/>
            <w:shd w:val="clear" w:color="auto" w:fill="F2F2F2" w:themeFill="background1" w:themeFillShade="F2"/>
          </w:tcPr>
          <w:p w14:paraId="6B2AB92B"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r>
      <w:tr w:rsidR="00321C0C" w:rsidRPr="00321C0C" w14:paraId="15F73D7B" w14:textId="77777777" w:rsidTr="0096628E">
        <w:trPr>
          <w:jc w:val="center"/>
        </w:trPr>
        <w:tc>
          <w:tcPr>
            <w:tcW w:w="3256" w:type="dxa"/>
            <w:shd w:val="clear" w:color="auto" w:fill="F2F2F2" w:themeFill="background1" w:themeFillShade="F2"/>
          </w:tcPr>
          <w:p w14:paraId="08F20C1D"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r w:rsidRPr="00321C0C">
              <w:rPr>
                <w:rFonts w:eastAsia="OpenSymbol" w:cstheme="minorHAnsi"/>
                <w:kern w:val="1"/>
                <w:sz w:val="20"/>
                <w:szCs w:val="20"/>
              </w:rPr>
              <w:t>Z toho ostatní dlouhodobý nehmotný majetek</w:t>
            </w:r>
          </w:p>
        </w:tc>
        <w:tc>
          <w:tcPr>
            <w:tcW w:w="963" w:type="dxa"/>
            <w:shd w:val="clear" w:color="auto" w:fill="F2F2F2" w:themeFill="background1" w:themeFillShade="F2"/>
          </w:tcPr>
          <w:p w14:paraId="48C75701"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964" w:type="dxa"/>
            <w:shd w:val="clear" w:color="auto" w:fill="F2F2F2" w:themeFill="background1" w:themeFillShade="F2"/>
          </w:tcPr>
          <w:p w14:paraId="22618A1F"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964" w:type="dxa"/>
            <w:shd w:val="clear" w:color="auto" w:fill="F2F2F2" w:themeFill="background1" w:themeFillShade="F2"/>
          </w:tcPr>
          <w:p w14:paraId="12FC890D"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964" w:type="dxa"/>
            <w:shd w:val="clear" w:color="auto" w:fill="F2F2F2" w:themeFill="background1" w:themeFillShade="F2"/>
          </w:tcPr>
          <w:p w14:paraId="7D227DA1"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964" w:type="dxa"/>
            <w:shd w:val="clear" w:color="auto" w:fill="F2F2F2" w:themeFill="background1" w:themeFillShade="F2"/>
          </w:tcPr>
          <w:p w14:paraId="2F3A7563"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1122" w:type="dxa"/>
            <w:shd w:val="clear" w:color="auto" w:fill="F2F2F2" w:themeFill="background1" w:themeFillShade="F2"/>
          </w:tcPr>
          <w:p w14:paraId="70B62004"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r>
      <w:tr w:rsidR="00321C0C" w:rsidRPr="00321C0C" w14:paraId="2B34E89E" w14:textId="77777777" w:rsidTr="0096628E">
        <w:trPr>
          <w:jc w:val="center"/>
        </w:trPr>
        <w:tc>
          <w:tcPr>
            <w:tcW w:w="3256" w:type="dxa"/>
            <w:shd w:val="clear" w:color="auto" w:fill="F2F2F2" w:themeFill="background1" w:themeFillShade="F2"/>
          </w:tcPr>
          <w:p w14:paraId="48FE4D42"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r w:rsidRPr="00321C0C">
              <w:rPr>
                <w:rFonts w:eastAsia="OpenSymbol" w:cstheme="minorHAnsi"/>
                <w:kern w:val="1"/>
                <w:sz w:val="20"/>
                <w:szCs w:val="20"/>
              </w:rPr>
              <w:t>Z toho pozemky, budovy a stavby</w:t>
            </w:r>
          </w:p>
        </w:tc>
        <w:tc>
          <w:tcPr>
            <w:tcW w:w="963" w:type="dxa"/>
            <w:shd w:val="clear" w:color="auto" w:fill="F2F2F2" w:themeFill="background1" w:themeFillShade="F2"/>
          </w:tcPr>
          <w:p w14:paraId="5EE6B1F2"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964" w:type="dxa"/>
            <w:shd w:val="clear" w:color="auto" w:fill="F2F2F2" w:themeFill="background1" w:themeFillShade="F2"/>
          </w:tcPr>
          <w:p w14:paraId="53456A01"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964" w:type="dxa"/>
            <w:shd w:val="clear" w:color="auto" w:fill="F2F2F2" w:themeFill="background1" w:themeFillShade="F2"/>
          </w:tcPr>
          <w:p w14:paraId="29008115"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964" w:type="dxa"/>
            <w:shd w:val="clear" w:color="auto" w:fill="F2F2F2" w:themeFill="background1" w:themeFillShade="F2"/>
          </w:tcPr>
          <w:p w14:paraId="1364B881"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964" w:type="dxa"/>
            <w:shd w:val="clear" w:color="auto" w:fill="F2F2F2" w:themeFill="background1" w:themeFillShade="F2"/>
          </w:tcPr>
          <w:p w14:paraId="1A06F758"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1122" w:type="dxa"/>
            <w:shd w:val="clear" w:color="auto" w:fill="F2F2F2" w:themeFill="background1" w:themeFillShade="F2"/>
          </w:tcPr>
          <w:p w14:paraId="184BB394"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r>
      <w:tr w:rsidR="00321C0C" w:rsidRPr="00321C0C" w14:paraId="7E4477C5" w14:textId="77777777" w:rsidTr="0096628E">
        <w:trPr>
          <w:jc w:val="center"/>
        </w:trPr>
        <w:tc>
          <w:tcPr>
            <w:tcW w:w="3256" w:type="dxa"/>
            <w:shd w:val="clear" w:color="auto" w:fill="F2F2F2" w:themeFill="background1" w:themeFillShade="F2"/>
          </w:tcPr>
          <w:p w14:paraId="27CCC38D" w14:textId="55CA29BB" w:rsidR="00321C0C" w:rsidRPr="00321C0C" w:rsidRDefault="00321C0C" w:rsidP="00321C0C">
            <w:pPr>
              <w:widowControl w:val="0"/>
              <w:autoSpaceDE w:val="0"/>
              <w:autoSpaceDN w:val="0"/>
              <w:adjustRightInd w:val="0"/>
              <w:jc w:val="both"/>
              <w:rPr>
                <w:rFonts w:eastAsia="OpenSymbol" w:cstheme="minorHAnsi"/>
                <w:kern w:val="1"/>
                <w:sz w:val="20"/>
                <w:szCs w:val="20"/>
              </w:rPr>
            </w:pPr>
            <w:r w:rsidRPr="00321C0C">
              <w:rPr>
                <w:rFonts w:eastAsia="OpenSymbol" w:cstheme="minorHAnsi"/>
                <w:kern w:val="1"/>
                <w:sz w:val="20"/>
                <w:szCs w:val="20"/>
              </w:rPr>
              <w:t>Ostatní dlouhodobý hmotný majetek (stroje, přístroje, zařízení apod.</w:t>
            </w:r>
            <w:r w:rsidR="002F2764">
              <w:rPr>
                <w:rFonts w:eastAsia="OpenSymbol" w:cstheme="minorHAnsi"/>
                <w:kern w:val="1"/>
                <w:sz w:val="20"/>
                <w:szCs w:val="20"/>
              </w:rPr>
              <w:t>)</w:t>
            </w:r>
          </w:p>
        </w:tc>
        <w:tc>
          <w:tcPr>
            <w:tcW w:w="963" w:type="dxa"/>
            <w:shd w:val="clear" w:color="auto" w:fill="F2F2F2" w:themeFill="background1" w:themeFillShade="F2"/>
          </w:tcPr>
          <w:p w14:paraId="7576BD01"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964" w:type="dxa"/>
            <w:shd w:val="clear" w:color="auto" w:fill="F2F2F2" w:themeFill="background1" w:themeFillShade="F2"/>
          </w:tcPr>
          <w:p w14:paraId="673DC5D3"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964" w:type="dxa"/>
            <w:shd w:val="clear" w:color="auto" w:fill="F2F2F2" w:themeFill="background1" w:themeFillShade="F2"/>
          </w:tcPr>
          <w:p w14:paraId="47DB103C"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964" w:type="dxa"/>
            <w:shd w:val="clear" w:color="auto" w:fill="F2F2F2" w:themeFill="background1" w:themeFillShade="F2"/>
          </w:tcPr>
          <w:p w14:paraId="3A0AACCE"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964" w:type="dxa"/>
            <w:shd w:val="clear" w:color="auto" w:fill="F2F2F2" w:themeFill="background1" w:themeFillShade="F2"/>
          </w:tcPr>
          <w:p w14:paraId="469440F7"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1122" w:type="dxa"/>
            <w:shd w:val="clear" w:color="auto" w:fill="F2F2F2" w:themeFill="background1" w:themeFillShade="F2"/>
          </w:tcPr>
          <w:p w14:paraId="408D0D4F"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r>
      <w:tr w:rsidR="00321C0C" w:rsidRPr="00321C0C" w14:paraId="0C0A38CF" w14:textId="77777777" w:rsidTr="0096628E">
        <w:trPr>
          <w:jc w:val="center"/>
        </w:trPr>
        <w:tc>
          <w:tcPr>
            <w:tcW w:w="3256" w:type="dxa"/>
            <w:shd w:val="clear" w:color="auto" w:fill="F2F2F2" w:themeFill="background1" w:themeFillShade="F2"/>
          </w:tcPr>
          <w:p w14:paraId="23B3CC3C"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r w:rsidRPr="00321C0C">
              <w:rPr>
                <w:rFonts w:eastAsia="OpenSymbol" w:cstheme="minorHAnsi"/>
                <w:kern w:val="1"/>
                <w:sz w:val="20"/>
                <w:szCs w:val="20"/>
              </w:rPr>
              <w:t xml:space="preserve">Celkové výdaje na infrastrukturu v letech </w:t>
            </w:r>
          </w:p>
        </w:tc>
        <w:tc>
          <w:tcPr>
            <w:tcW w:w="963" w:type="dxa"/>
            <w:shd w:val="clear" w:color="auto" w:fill="F2F2F2" w:themeFill="background1" w:themeFillShade="F2"/>
          </w:tcPr>
          <w:p w14:paraId="43AEE374"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964" w:type="dxa"/>
            <w:shd w:val="clear" w:color="auto" w:fill="F2F2F2" w:themeFill="background1" w:themeFillShade="F2"/>
          </w:tcPr>
          <w:p w14:paraId="2758A1D3"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964" w:type="dxa"/>
            <w:shd w:val="clear" w:color="auto" w:fill="F2F2F2" w:themeFill="background1" w:themeFillShade="F2"/>
          </w:tcPr>
          <w:p w14:paraId="0E44D679"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964" w:type="dxa"/>
            <w:shd w:val="clear" w:color="auto" w:fill="F2F2F2" w:themeFill="background1" w:themeFillShade="F2"/>
          </w:tcPr>
          <w:p w14:paraId="01E4A9FE"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964" w:type="dxa"/>
            <w:shd w:val="clear" w:color="auto" w:fill="F2F2F2" w:themeFill="background1" w:themeFillShade="F2"/>
          </w:tcPr>
          <w:p w14:paraId="3C5A1412"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c>
          <w:tcPr>
            <w:tcW w:w="1122" w:type="dxa"/>
            <w:shd w:val="clear" w:color="auto" w:fill="F2F2F2" w:themeFill="background1" w:themeFillShade="F2"/>
          </w:tcPr>
          <w:p w14:paraId="66C0C31E" w14:textId="77777777" w:rsidR="00321C0C" w:rsidRPr="00321C0C" w:rsidRDefault="00321C0C" w:rsidP="00321C0C">
            <w:pPr>
              <w:widowControl w:val="0"/>
              <w:autoSpaceDE w:val="0"/>
              <w:autoSpaceDN w:val="0"/>
              <w:adjustRightInd w:val="0"/>
              <w:jc w:val="both"/>
              <w:rPr>
                <w:rFonts w:eastAsia="OpenSymbol" w:cstheme="minorHAnsi"/>
                <w:kern w:val="1"/>
                <w:sz w:val="20"/>
                <w:szCs w:val="20"/>
              </w:rPr>
            </w:pPr>
          </w:p>
        </w:tc>
      </w:tr>
    </w:tbl>
    <w:p w14:paraId="249FACBC" w14:textId="77777777" w:rsidR="00321C0C" w:rsidRPr="00321C0C" w:rsidRDefault="00321C0C" w:rsidP="00321C0C">
      <w:pPr>
        <w:widowControl w:val="0"/>
        <w:autoSpaceDE w:val="0"/>
        <w:autoSpaceDN w:val="0"/>
        <w:adjustRightInd w:val="0"/>
        <w:spacing w:line="240" w:lineRule="atLeast"/>
        <w:jc w:val="both"/>
        <w:rPr>
          <w:rFonts w:cstheme="minorHAnsi"/>
          <w:b/>
          <w:bCs/>
          <w:sz w:val="22"/>
          <w:szCs w:val="22"/>
          <w:lang w:val="cs-CZ"/>
        </w:rPr>
      </w:pPr>
    </w:p>
    <w:p w14:paraId="1CB25F5F" w14:textId="77777777" w:rsidR="00321C0C" w:rsidRPr="00321C0C" w:rsidRDefault="00321C0C" w:rsidP="00321C0C">
      <w:pPr>
        <w:widowControl w:val="0"/>
        <w:autoSpaceDE w:val="0"/>
        <w:autoSpaceDN w:val="0"/>
        <w:adjustRightInd w:val="0"/>
        <w:spacing w:line="240" w:lineRule="atLeast"/>
        <w:jc w:val="both"/>
        <w:rPr>
          <w:rFonts w:cstheme="minorHAnsi"/>
          <w:b/>
          <w:bCs/>
          <w:sz w:val="22"/>
          <w:szCs w:val="22"/>
          <w:lang w:val="cs-CZ"/>
        </w:rPr>
      </w:pPr>
    </w:p>
    <w:p w14:paraId="02018666" w14:textId="77777777" w:rsidR="00321C0C" w:rsidRPr="00321C0C" w:rsidRDefault="00321C0C" w:rsidP="00321C0C">
      <w:pPr>
        <w:widowControl w:val="0"/>
        <w:autoSpaceDE w:val="0"/>
        <w:autoSpaceDN w:val="0"/>
        <w:adjustRightInd w:val="0"/>
        <w:spacing w:line="240" w:lineRule="atLeast"/>
        <w:jc w:val="both"/>
        <w:rPr>
          <w:rFonts w:cstheme="minorHAnsi"/>
          <w:b/>
          <w:bCs/>
          <w:sz w:val="22"/>
          <w:szCs w:val="22"/>
          <w:lang w:val="cs-CZ"/>
        </w:rPr>
      </w:pPr>
    </w:p>
    <w:p w14:paraId="0F8DA417" w14:textId="77777777" w:rsidR="00321C0C" w:rsidRPr="00321C0C" w:rsidRDefault="00321C0C" w:rsidP="00321C0C">
      <w:pPr>
        <w:widowControl w:val="0"/>
        <w:autoSpaceDE w:val="0"/>
        <w:autoSpaceDN w:val="0"/>
        <w:adjustRightInd w:val="0"/>
        <w:spacing w:line="240" w:lineRule="atLeast"/>
        <w:jc w:val="both"/>
        <w:rPr>
          <w:rFonts w:cstheme="minorHAnsi"/>
          <w:b/>
          <w:bCs/>
          <w:sz w:val="22"/>
          <w:szCs w:val="22"/>
          <w:lang w:val="cs-CZ"/>
        </w:rPr>
      </w:pPr>
    </w:p>
    <w:p w14:paraId="47DCC034" w14:textId="77777777" w:rsidR="00321C0C" w:rsidRPr="00321C0C" w:rsidRDefault="00321C0C" w:rsidP="00321C0C">
      <w:pPr>
        <w:widowControl w:val="0"/>
        <w:autoSpaceDE w:val="0"/>
        <w:autoSpaceDN w:val="0"/>
        <w:adjustRightInd w:val="0"/>
        <w:spacing w:line="240" w:lineRule="atLeast"/>
        <w:jc w:val="both"/>
        <w:rPr>
          <w:rFonts w:cstheme="minorHAnsi"/>
          <w:b/>
          <w:bCs/>
          <w:sz w:val="22"/>
          <w:szCs w:val="22"/>
          <w:lang w:val="cs-CZ"/>
        </w:rPr>
      </w:pPr>
    </w:p>
    <w:p w14:paraId="7AC65E0F" w14:textId="77777777" w:rsidR="00321C0C" w:rsidRPr="00321C0C" w:rsidRDefault="00321C0C" w:rsidP="00321C0C">
      <w:pPr>
        <w:widowControl w:val="0"/>
        <w:autoSpaceDE w:val="0"/>
        <w:autoSpaceDN w:val="0"/>
        <w:adjustRightInd w:val="0"/>
        <w:spacing w:line="240" w:lineRule="atLeast"/>
        <w:jc w:val="both"/>
        <w:rPr>
          <w:rFonts w:cstheme="minorHAnsi"/>
          <w:b/>
          <w:bCs/>
          <w:sz w:val="22"/>
          <w:szCs w:val="22"/>
          <w:lang w:val="cs-CZ"/>
        </w:rPr>
      </w:pPr>
    </w:p>
    <w:p w14:paraId="2713571E" w14:textId="77777777" w:rsidR="00321C0C" w:rsidRPr="00321C0C" w:rsidRDefault="00321C0C" w:rsidP="00321C0C">
      <w:pPr>
        <w:widowControl w:val="0"/>
        <w:autoSpaceDE w:val="0"/>
        <w:autoSpaceDN w:val="0"/>
        <w:adjustRightInd w:val="0"/>
        <w:spacing w:line="240" w:lineRule="atLeast"/>
        <w:jc w:val="both"/>
        <w:rPr>
          <w:rFonts w:cstheme="minorHAnsi"/>
          <w:b/>
          <w:bCs/>
          <w:sz w:val="22"/>
          <w:szCs w:val="22"/>
          <w:lang w:val="cs-CZ"/>
        </w:rPr>
      </w:pPr>
    </w:p>
    <w:p w14:paraId="2C01E281" w14:textId="77777777" w:rsidR="00321C0C" w:rsidRPr="00321C0C" w:rsidRDefault="00321C0C" w:rsidP="00321C0C">
      <w:pPr>
        <w:widowControl w:val="0"/>
        <w:autoSpaceDE w:val="0"/>
        <w:autoSpaceDN w:val="0"/>
        <w:adjustRightInd w:val="0"/>
        <w:spacing w:line="240" w:lineRule="atLeast"/>
        <w:jc w:val="both"/>
        <w:rPr>
          <w:rFonts w:cstheme="minorHAnsi"/>
          <w:b/>
          <w:bCs/>
          <w:sz w:val="22"/>
          <w:szCs w:val="22"/>
          <w:lang w:val="cs-CZ"/>
        </w:rPr>
      </w:pPr>
    </w:p>
    <w:p w14:paraId="5F5B4913" w14:textId="77777777" w:rsidR="00321C0C" w:rsidRPr="00321C0C" w:rsidRDefault="00321C0C" w:rsidP="00321C0C">
      <w:pPr>
        <w:widowControl w:val="0"/>
        <w:autoSpaceDE w:val="0"/>
        <w:autoSpaceDN w:val="0"/>
        <w:adjustRightInd w:val="0"/>
        <w:spacing w:line="240" w:lineRule="atLeast"/>
        <w:jc w:val="both"/>
        <w:rPr>
          <w:rFonts w:cstheme="minorHAnsi"/>
          <w:b/>
          <w:bCs/>
          <w:sz w:val="22"/>
          <w:szCs w:val="22"/>
          <w:lang w:val="cs-CZ"/>
        </w:rPr>
      </w:pPr>
    </w:p>
    <w:p w14:paraId="4C0F526A" w14:textId="77777777" w:rsidR="00321C0C" w:rsidRPr="00321C0C" w:rsidRDefault="00321C0C" w:rsidP="00321C0C">
      <w:pPr>
        <w:widowControl w:val="0"/>
        <w:autoSpaceDE w:val="0"/>
        <w:autoSpaceDN w:val="0"/>
        <w:adjustRightInd w:val="0"/>
        <w:spacing w:line="240" w:lineRule="atLeast"/>
        <w:jc w:val="both"/>
        <w:rPr>
          <w:rFonts w:cstheme="minorHAnsi"/>
          <w:b/>
          <w:bCs/>
          <w:sz w:val="22"/>
          <w:szCs w:val="22"/>
          <w:lang w:val="cs-CZ"/>
        </w:rPr>
      </w:pPr>
    </w:p>
    <w:p w14:paraId="02D997A9" w14:textId="77777777" w:rsidR="00321C0C" w:rsidRPr="00321C0C" w:rsidRDefault="00321C0C" w:rsidP="00321C0C">
      <w:pPr>
        <w:widowControl w:val="0"/>
        <w:autoSpaceDE w:val="0"/>
        <w:autoSpaceDN w:val="0"/>
        <w:adjustRightInd w:val="0"/>
        <w:spacing w:line="240" w:lineRule="atLeast"/>
        <w:jc w:val="both"/>
        <w:rPr>
          <w:rFonts w:cstheme="minorHAnsi"/>
          <w:b/>
          <w:bCs/>
          <w:sz w:val="22"/>
          <w:szCs w:val="22"/>
          <w:lang w:val="cs-CZ"/>
        </w:rPr>
      </w:pPr>
    </w:p>
    <w:p w14:paraId="709BD821" w14:textId="77777777" w:rsidR="00321C0C" w:rsidRPr="00321C0C" w:rsidRDefault="00321C0C" w:rsidP="00321C0C">
      <w:pPr>
        <w:widowControl w:val="0"/>
        <w:autoSpaceDE w:val="0"/>
        <w:autoSpaceDN w:val="0"/>
        <w:adjustRightInd w:val="0"/>
        <w:spacing w:line="240" w:lineRule="atLeast"/>
        <w:jc w:val="both"/>
        <w:rPr>
          <w:rFonts w:cstheme="minorHAnsi"/>
          <w:b/>
          <w:bCs/>
          <w:sz w:val="22"/>
          <w:szCs w:val="22"/>
          <w:lang w:val="cs-CZ"/>
        </w:rPr>
      </w:pPr>
    </w:p>
    <w:p w14:paraId="25BF4A80" w14:textId="77777777" w:rsidR="00321C0C" w:rsidRPr="00321C0C" w:rsidRDefault="00321C0C" w:rsidP="00321C0C">
      <w:pPr>
        <w:widowControl w:val="0"/>
        <w:autoSpaceDE w:val="0"/>
        <w:autoSpaceDN w:val="0"/>
        <w:adjustRightInd w:val="0"/>
        <w:spacing w:line="240" w:lineRule="atLeast"/>
        <w:jc w:val="both"/>
        <w:rPr>
          <w:rFonts w:cstheme="minorHAnsi"/>
          <w:b/>
          <w:bCs/>
          <w:sz w:val="22"/>
          <w:szCs w:val="22"/>
          <w:lang w:val="cs-CZ"/>
        </w:rPr>
      </w:pPr>
    </w:p>
    <w:p w14:paraId="3699D942" w14:textId="77777777" w:rsidR="00321C0C" w:rsidRPr="00321C0C" w:rsidRDefault="00321C0C" w:rsidP="00321C0C">
      <w:pPr>
        <w:widowControl w:val="0"/>
        <w:autoSpaceDE w:val="0"/>
        <w:autoSpaceDN w:val="0"/>
        <w:adjustRightInd w:val="0"/>
        <w:spacing w:line="240" w:lineRule="atLeast"/>
        <w:jc w:val="both"/>
        <w:rPr>
          <w:rFonts w:cstheme="minorHAnsi"/>
          <w:b/>
          <w:bCs/>
          <w:sz w:val="22"/>
          <w:szCs w:val="22"/>
          <w:lang w:val="cs-CZ"/>
        </w:rPr>
      </w:pPr>
    </w:p>
    <w:p w14:paraId="47307AC3" w14:textId="77777777" w:rsidR="00321C0C" w:rsidRPr="00321C0C" w:rsidRDefault="00321C0C" w:rsidP="00321C0C">
      <w:pPr>
        <w:widowControl w:val="0"/>
        <w:autoSpaceDE w:val="0"/>
        <w:autoSpaceDN w:val="0"/>
        <w:adjustRightInd w:val="0"/>
        <w:spacing w:line="240" w:lineRule="atLeast"/>
        <w:jc w:val="both"/>
        <w:rPr>
          <w:rFonts w:cstheme="minorHAnsi"/>
          <w:b/>
          <w:bCs/>
          <w:sz w:val="22"/>
          <w:szCs w:val="22"/>
          <w:lang w:val="cs-CZ"/>
        </w:rPr>
      </w:pPr>
    </w:p>
    <w:p w14:paraId="29E2771D" w14:textId="77777777" w:rsidR="00321C0C" w:rsidRPr="00321C0C" w:rsidRDefault="00321C0C" w:rsidP="00321C0C">
      <w:pPr>
        <w:widowControl w:val="0"/>
        <w:autoSpaceDE w:val="0"/>
        <w:autoSpaceDN w:val="0"/>
        <w:adjustRightInd w:val="0"/>
        <w:spacing w:line="240" w:lineRule="atLeast"/>
        <w:jc w:val="both"/>
        <w:rPr>
          <w:rFonts w:cstheme="minorHAnsi"/>
          <w:b/>
          <w:bCs/>
          <w:sz w:val="22"/>
          <w:szCs w:val="22"/>
          <w:lang w:val="cs-CZ"/>
        </w:rPr>
      </w:pPr>
    </w:p>
    <w:p w14:paraId="70005911" w14:textId="77777777" w:rsidR="00321C0C" w:rsidRPr="00321C0C" w:rsidRDefault="00321C0C" w:rsidP="00321C0C">
      <w:pPr>
        <w:widowControl w:val="0"/>
        <w:autoSpaceDE w:val="0"/>
        <w:autoSpaceDN w:val="0"/>
        <w:adjustRightInd w:val="0"/>
        <w:spacing w:line="240" w:lineRule="atLeast"/>
        <w:jc w:val="both"/>
        <w:rPr>
          <w:rFonts w:cstheme="minorHAnsi"/>
          <w:b/>
          <w:bCs/>
          <w:sz w:val="22"/>
          <w:szCs w:val="22"/>
          <w:lang w:val="cs-CZ"/>
        </w:rPr>
      </w:pPr>
    </w:p>
    <w:p w14:paraId="5865D098" w14:textId="77777777" w:rsidR="00321C0C" w:rsidRPr="00321C0C" w:rsidRDefault="00321C0C" w:rsidP="00321C0C">
      <w:pPr>
        <w:widowControl w:val="0"/>
        <w:autoSpaceDE w:val="0"/>
        <w:autoSpaceDN w:val="0"/>
        <w:adjustRightInd w:val="0"/>
        <w:spacing w:line="240" w:lineRule="atLeast"/>
        <w:jc w:val="both"/>
        <w:rPr>
          <w:rFonts w:cstheme="minorHAnsi"/>
          <w:b/>
          <w:bCs/>
          <w:sz w:val="22"/>
          <w:szCs w:val="22"/>
          <w:lang w:val="cs-CZ"/>
        </w:rPr>
      </w:pPr>
    </w:p>
    <w:p w14:paraId="550034F4" w14:textId="77777777" w:rsidR="00321C0C" w:rsidRPr="00321C0C" w:rsidRDefault="00321C0C" w:rsidP="00321C0C">
      <w:pPr>
        <w:widowControl w:val="0"/>
        <w:autoSpaceDE w:val="0"/>
        <w:autoSpaceDN w:val="0"/>
        <w:adjustRightInd w:val="0"/>
        <w:spacing w:line="240" w:lineRule="atLeast"/>
        <w:jc w:val="both"/>
        <w:rPr>
          <w:rFonts w:cstheme="minorHAnsi"/>
          <w:b/>
          <w:bCs/>
          <w:sz w:val="22"/>
          <w:szCs w:val="22"/>
          <w:lang w:val="cs-CZ"/>
        </w:rPr>
      </w:pPr>
    </w:p>
    <w:p w14:paraId="03FC5766" w14:textId="77777777" w:rsidR="00321C0C" w:rsidRPr="00321C0C" w:rsidRDefault="00321C0C" w:rsidP="00321C0C">
      <w:pPr>
        <w:widowControl w:val="0"/>
        <w:autoSpaceDE w:val="0"/>
        <w:autoSpaceDN w:val="0"/>
        <w:adjustRightInd w:val="0"/>
        <w:spacing w:line="240" w:lineRule="atLeast"/>
        <w:jc w:val="both"/>
        <w:rPr>
          <w:rFonts w:cstheme="minorHAnsi"/>
          <w:b/>
          <w:bCs/>
          <w:sz w:val="22"/>
          <w:szCs w:val="22"/>
          <w:lang w:val="cs-CZ"/>
        </w:rPr>
      </w:pPr>
    </w:p>
    <w:p w14:paraId="37ABEFAE" w14:textId="77777777" w:rsidR="00321C0C" w:rsidRDefault="00321C0C" w:rsidP="00321C0C">
      <w:pPr>
        <w:pStyle w:val="Nadpis3"/>
        <w:rPr>
          <w:lang w:val="cs-CZ"/>
        </w:rPr>
      </w:pPr>
    </w:p>
    <w:p w14:paraId="5A16C6B8" w14:textId="77777777" w:rsidR="00321C0C" w:rsidRDefault="00321C0C" w:rsidP="00321C0C">
      <w:pPr>
        <w:rPr>
          <w:lang w:val="cs-CZ"/>
        </w:rPr>
      </w:pPr>
    </w:p>
    <w:p w14:paraId="2B412F89" w14:textId="77777777" w:rsidR="009F0132" w:rsidRDefault="009F0132" w:rsidP="00321C0C">
      <w:pPr>
        <w:rPr>
          <w:lang w:val="cs-CZ"/>
        </w:rPr>
      </w:pPr>
    </w:p>
    <w:p w14:paraId="7EC95998" w14:textId="77777777" w:rsidR="009F0132" w:rsidRDefault="009F0132" w:rsidP="00321C0C">
      <w:pPr>
        <w:rPr>
          <w:lang w:val="cs-CZ"/>
        </w:rPr>
      </w:pPr>
    </w:p>
    <w:p w14:paraId="36D258E3" w14:textId="77777777" w:rsidR="00321C0C" w:rsidRPr="00321C0C" w:rsidRDefault="00321C0C" w:rsidP="00321C0C">
      <w:pPr>
        <w:rPr>
          <w:lang w:val="cs-CZ"/>
        </w:rPr>
      </w:pPr>
    </w:p>
    <w:p w14:paraId="0BF1CEF3" w14:textId="56FAC29B" w:rsidR="00321C0C" w:rsidRPr="00321C0C" w:rsidRDefault="000E332E" w:rsidP="00321C0C">
      <w:pPr>
        <w:pStyle w:val="Nadpis3"/>
        <w:rPr>
          <w:lang w:val="cs-CZ"/>
        </w:rPr>
      </w:pPr>
      <w:r>
        <w:rPr>
          <w:lang w:val="cs-CZ"/>
        </w:rPr>
        <w:lastRenderedPageBreak/>
        <w:t xml:space="preserve">SOUHRNNÝ </w:t>
      </w:r>
      <w:r w:rsidR="006451F9" w:rsidRPr="00176A2C">
        <w:rPr>
          <w:lang w:val="cs-CZ"/>
        </w:rPr>
        <w:t xml:space="preserve">SEZNAM </w:t>
      </w:r>
      <w:bookmarkEnd w:id="20"/>
      <w:r w:rsidR="00A65208">
        <w:rPr>
          <w:lang w:val="cs-CZ"/>
        </w:rPr>
        <w:t>PODPŮRNÝCH DOKUMENTŮ V</w:t>
      </w:r>
      <w:r w:rsidR="0024472D">
        <w:rPr>
          <w:lang w:val="cs-CZ"/>
        </w:rPr>
        <w:t xml:space="preserve"> M4</w:t>
      </w:r>
    </w:p>
    <w:p w14:paraId="728E71A5" w14:textId="77777777" w:rsidR="006451F9" w:rsidRPr="00925E05" w:rsidRDefault="006451F9" w:rsidP="006451F9">
      <w:pPr>
        <w:rPr>
          <w:lang w:val="cs-CZ"/>
        </w:rPr>
      </w:pPr>
    </w:p>
    <w:tbl>
      <w:tblPr>
        <w:tblStyle w:val="Mkatabulky"/>
        <w:tblW w:w="9209" w:type="dxa"/>
        <w:tblLook w:val="04A0" w:firstRow="1" w:lastRow="0" w:firstColumn="1" w:lastColumn="0" w:noHBand="0" w:noVBand="1"/>
      </w:tblPr>
      <w:tblGrid>
        <w:gridCol w:w="5098"/>
        <w:gridCol w:w="1560"/>
        <w:gridCol w:w="2551"/>
      </w:tblGrid>
      <w:tr w:rsidR="006451F9" w:rsidRPr="009811CB" w14:paraId="40CD5A36" w14:textId="77777777" w:rsidTr="00892563">
        <w:tc>
          <w:tcPr>
            <w:tcW w:w="5098" w:type="dxa"/>
            <w:shd w:val="clear" w:color="auto" w:fill="F2F2F2" w:themeFill="background1" w:themeFillShade="F2"/>
          </w:tcPr>
          <w:p w14:paraId="5DAAC113" w14:textId="77777777" w:rsidR="006451F9" w:rsidRPr="009811CB" w:rsidRDefault="006451F9" w:rsidP="00BC45D1">
            <w:pPr>
              <w:spacing w:line="240" w:lineRule="atLeast"/>
              <w:jc w:val="center"/>
              <w:rPr>
                <w:rFonts w:cstheme="minorHAnsi"/>
                <w:b/>
              </w:rPr>
            </w:pPr>
            <w:r w:rsidRPr="009811CB">
              <w:rPr>
                <w:rFonts w:cstheme="minorHAnsi"/>
                <w:b/>
              </w:rPr>
              <w:t>Název dokumentu</w:t>
            </w:r>
          </w:p>
        </w:tc>
        <w:tc>
          <w:tcPr>
            <w:tcW w:w="1560" w:type="dxa"/>
            <w:shd w:val="clear" w:color="auto" w:fill="F2F2F2" w:themeFill="background1" w:themeFillShade="F2"/>
          </w:tcPr>
          <w:p w14:paraId="7ABDDE20" w14:textId="3C12837C" w:rsidR="006451F9" w:rsidRPr="009811CB" w:rsidRDefault="006451F9" w:rsidP="00BC45D1">
            <w:pPr>
              <w:spacing w:line="240" w:lineRule="atLeast"/>
              <w:jc w:val="center"/>
              <w:rPr>
                <w:rFonts w:cstheme="minorHAnsi"/>
                <w:b/>
              </w:rPr>
            </w:pPr>
            <w:r>
              <w:rPr>
                <w:rFonts w:cstheme="minorHAnsi"/>
                <w:b/>
              </w:rPr>
              <w:t>Č. kritéria</w:t>
            </w:r>
          </w:p>
        </w:tc>
        <w:tc>
          <w:tcPr>
            <w:tcW w:w="2551" w:type="dxa"/>
            <w:shd w:val="clear" w:color="auto" w:fill="F2F2F2" w:themeFill="background1" w:themeFillShade="F2"/>
          </w:tcPr>
          <w:p w14:paraId="60FF64DD" w14:textId="5CFD833F" w:rsidR="006451F9" w:rsidRPr="009811CB" w:rsidRDefault="006451F9" w:rsidP="00BC45D1">
            <w:pPr>
              <w:spacing w:line="240" w:lineRule="atLeast"/>
              <w:jc w:val="center"/>
              <w:rPr>
                <w:rFonts w:cstheme="minorHAnsi"/>
                <w:b/>
              </w:rPr>
            </w:pPr>
            <w:r w:rsidRPr="009811CB">
              <w:rPr>
                <w:rFonts w:cstheme="minorHAnsi"/>
                <w:b/>
              </w:rPr>
              <w:t>Umístění (odkaz</w:t>
            </w:r>
            <w:r w:rsidR="00BC45D1">
              <w:t xml:space="preserve"> </w:t>
            </w:r>
            <w:r w:rsidR="00BC45D1" w:rsidRPr="00BC45D1">
              <w:rPr>
                <w:rFonts w:cstheme="minorHAnsi"/>
                <w:b/>
              </w:rPr>
              <w:t>v HTML</w:t>
            </w:r>
            <w:r w:rsidRPr="009811CB">
              <w:rPr>
                <w:rFonts w:cstheme="minorHAnsi"/>
                <w:b/>
              </w:rPr>
              <w:t>)</w:t>
            </w:r>
          </w:p>
        </w:tc>
      </w:tr>
      <w:tr w:rsidR="006451F9" w14:paraId="13AE7E32" w14:textId="77777777" w:rsidTr="00892563">
        <w:tc>
          <w:tcPr>
            <w:tcW w:w="5098" w:type="dxa"/>
          </w:tcPr>
          <w:p w14:paraId="210AA0FC" w14:textId="77777777" w:rsidR="006451F9" w:rsidRDefault="006451F9" w:rsidP="00892563">
            <w:pPr>
              <w:spacing w:line="240" w:lineRule="atLeast"/>
              <w:jc w:val="both"/>
              <w:rPr>
                <w:rFonts w:cstheme="minorHAnsi"/>
              </w:rPr>
            </w:pPr>
          </w:p>
        </w:tc>
        <w:tc>
          <w:tcPr>
            <w:tcW w:w="1560" w:type="dxa"/>
          </w:tcPr>
          <w:p w14:paraId="2FCEB572" w14:textId="77777777" w:rsidR="006451F9" w:rsidRDefault="006451F9" w:rsidP="00892563">
            <w:pPr>
              <w:spacing w:line="240" w:lineRule="atLeast"/>
              <w:jc w:val="both"/>
              <w:rPr>
                <w:rFonts w:cstheme="minorHAnsi"/>
              </w:rPr>
            </w:pPr>
          </w:p>
        </w:tc>
        <w:tc>
          <w:tcPr>
            <w:tcW w:w="2551" w:type="dxa"/>
          </w:tcPr>
          <w:p w14:paraId="28139E59" w14:textId="77777777" w:rsidR="006451F9" w:rsidRDefault="006451F9" w:rsidP="00892563">
            <w:pPr>
              <w:spacing w:line="240" w:lineRule="atLeast"/>
              <w:jc w:val="both"/>
              <w:rPr>
                <w:rFonts w:cstheme="minorHAnsi"/>
              </w:rPr>
            </w:pPr>
          </w:p>
        </w:tc>
      </w:tr>
      <w:tr w:rsidR="006451F9" w14:paraId="22BB668B" w14:textId="77777777" w:rsidTr="00892563">
        <w:tc>
          <w:tcPr>
            <w:tcW w:w="5098" w:type="dxa"/>
          </w:tcPr>
          <w:p w14:paraId="282C110B" w14:textId="77777777" w:rsidR="006451F9" w:rsidRDefault="006451F9" w:rsidP="00892563">
            <w:pPr>
              <w:spacing w:line="240" w:lineRule="atLeast"/>
              <w:jc w:val="both"/>
              <w:rPr>
                <w:rFonts w:cstheme="minorHAnsi"/>
              </w:rPr>
            </w:pPr>
          </w:p>
        </w:tc>
        <w:tc>
          <w:tcPr>
            <w:tcW w:w="1560" w:type="dxa"/>
          </w:tcPr>
          <w:p w14:paraId="3D969469" w14:textId="77777777" w:rsidR="006451F9" w:rsidRDefault="006451F9" w:rsidP="00892563">
            <w:pPr>
              <w:spacing w:line="240" w:lineRule="atLeast"/>
              <w:jc w:val="both"/>
              <w:rPr>
                <w:rFonts w:cstheme="minorHAnsi"/>
              </w:rPr>
            </w:pPr>
          </w:p>
        </w:tc>
        <w:tc>
          <w:tcPr>
            <w:tcW w:w="2551" w:type="dxa"/>
          </w:tcPr>
          <w:p w14:paraId="54C84993" w14:textId="77777777" w:rsidR="006451F9" w:rsidRDefault="006451F9" w:rsidP="00892563">
            <w:pPr>
              <w:spacing w:line="240" w:lineRule="atLeast"/>
              <w:jc w:val="both"/>
              <w:rPr>
                <w:rFonts w:cstheme="minorHAnsi"/>
              </w:rPr>
            </w:pPr>
          </w:p>
        </w:tc>
      </w:tr>
      <w:tr w:rsidR="006451F9" w14:paraId="32B916CB" w14:textId="77777777" w:rsidTr="00892563">
        <w:tc>
          <w:tcPr>
            <w:tcW w:w="5098" w:type="dxa"/>
          </w:tcPr>
          <w:p w14:paraId="0A59A9AE" w14:textId="77777777" w:rsidR="006451F9" w:rsidRDefault="006451F9" w:rsidP="00892563">
            <w:pPr>
              <w:spacing w:line="240" w:lineRule="atLeast"/>
              <w:jc w:val="both"/>
              <w:rPr>
                <w:rFonts w:cstheme="minorHAnsi"/>
              </w:rPr>
            </w:pPr>
          </w:p>
        </w:tc>
        <w:tc>
          <w:tcPr>
            <w:tcW w:w="1560" w:type="dxa"/>
          </w:tcPr>
          <w:p w14:paraId="2CCF411E" w14:textId="77777777" w:rsidR="006451F9" w:rsidRDefault="006451F9" w:rsidP="00892563">
            <w:pPr>
              <w:spacing w:line="240" w:lineRule="atLeast"/>
              <w:jc w:val="both"/>
              <w:rPr>
                <w:rFonts w:cstheme="minorHAnsi"/>
              </w:rPr>
            </w:pPr>
          </w:p>
        </w:tc>
        <w:tc>
          <w:tcPr>
            <w:tcW w:w="2551" w:type="dxa"/>
          </w:tcPr>
          <w:p w14:paraId="2601EBA0" w14:textId="77777777" w:rsidR="006451F9" w:rsidRDefault="006451F9" w:rsidP="00892563">
            <w:pPr>
              <w:spacing w:line="240" w:lineRule="atLeast"/>
              <w:jc w:val="both"/>
              <w:rPr>
                <w:rFonts w:cstheme="minorHAnsi"/>
              </w:rPr>
            </w:pPr>
          </w:p>
        </w:tc>
      </w:tr>
      <w:tr w:rsidR="006451F9" w14:paraId="532C0F9C" w14:textId="77777777" w:rsidTr="00892563">
        <w:tc>
          <w:tcPr>
            <w:tcW w:w="5098" w:type="dxa"/>
          </w:tcPr>
          <w:p w14:paraId="01AC3008" w14:textId="77777777" w:rsidR="006451F9" w:rsidRDefault="006451F9" w:rsidP="00892563">
            <w:pPr>
              <w:spacing w:line="240" w:lineRule="atLeast"/>
              <w:jc w:val="both"/>
              <w:rPr>
                <w:rFonts w:cstheme="minorHAnsi"/>
              </w:rPr>
            </w:pPr>
          </w:p>
        </w:tc>
        <w:tc>
          <w:tcPr>
            <w:tcW w:w="1560" w:type="dxa"/>
          </w:tcPr>
          <w:p w14:paraId="45BB64EB" w14:textId="77777777" w:rsidR="006451F9" w:rsidRDefault="006451F9" w:rsidP="00892563">
            <w:pPr>
              <w:spacing w:line="240" w:lineRule="atLeast"/>
              <w:jc w:val="both"/>
              <w:rPr>
                <w:rFonts w:cstheme="minorHAnsi"/>
              </w:rPr>
            </w:pPr>
          </w:p>
        </w:tc>
        <w:tc>
          <w:tcPr>
            <w:tcW w:w="2551" w:type="dxa"/>
          </w:tcPr>
          <w:p w14:paraId="411B6630" w14:textId="77777777" w:rsidR="006451F9" w:rsidRDefault="006451F9" w:rsidP="00892563">
            <w:pPr>
              <w:spacing w:line="240" w:lineRule="atLeast"/>
              <w:jc w:val="both"/>
              <w:rPr>
                <w:rFonts w:cstheme="minorHAnsi"/>
              </w:rPr>
            </w:pPr>
          </w:p>
        </w:tc>
      </w:tr>
    </w:tbl>
    <w:p w14:paraId="5C5FBB25" w14:textId="77777777" w:rsidR="006451F9" w:rsidRDefault="006451F9" w:rsidP="006451F9">
      <w:pPr>
        <w:rPr>
          <w:b/>
          <w:lang w:val="cs-CZ"/>
        </w:rPr>
      </w:pPr>
    </w:p>
    <w:p w14:paraId="5F9B74B9" w14:textId="77777777" w:rsidR="006451F9" w:rsidRDefault="006451F9" w:rsidP="006451F9"/>
    <w:p w14:paraId="4650DD43" w14:textId="7FDA6C09" w:rsidR="00FC7C1B" w:rsidRPr="00CA1F26" w:rsidRDefault="00D862D3">
      <w:pPr>
        <w:rPr>
          <w:rFonts w:cstheme="minorHAnsi"/>
          <w:b/>
          <w:bCs/>
          <w:sz w:val="40"/>
          <w:szCs w:val="40"/>
          <w:lang w:val="cs-CZ"/>
        </w:rPr>
      </w:pPr>
      <w:r>
        <w:rPr>
          <w:rFonts w:cstheme="minorHAnsi"/>
          <w:b/>
          <w:bCs/>
          <w:sz w:val="40"/>
          <w:szCs w:val="40"/>
          <w:lang w:val="cs-CZ"/>
        </w:rPr>
        <w:br w:type="page"/>
      </w:r>
    </w:p>
    <w:p w14:paraId="736AB99D" w14:textId="77777777" w:rsidR="00E14A1A" w:rsidRDefault="00121F9B" w:rsidP="00E14A1A">
      <w:pPr>
        <w:pStyle w:val="Nadpis2"/>
      </w:pPr>
      <w:bookmarkStart w:id="22" w:name="_Toc13829032"/>
      <w:r w:rsidRPr="0061432D">
        <w:lastRenderedPageBreak/>
        <w:t xml:space="preserve">MODUL </w:t>
      </w:r>
      <w:r>
        <w:t>5</w:t>
      </w:r>
      <w:r w:rsidRPr="00F7449B">
        <w:t xml:space="preserve"> </w:t>
      </w:r>
      <w:r>
        <w:t>STRATEGIE A KONCEPCE</w:t>
      </w:r>
      <w:bookmarkStart w:id="23" w:name="_Toc13829034"/>
      <w:bookmarkEnd w:id="22"/>
    </w:p>
    <w:p w14:paraId="6E2776FB" w14:textId="77777777" w:rsidR="00E14A1A" w:rsidRPr="00E14A1A" w:rsidRDefault="00E14A1A" w:rsidP="00E14A1A">
      <w:pPr>
        <w:rPr>
          <w:lang w:val="cs-CZ"/>
        </w:rPr>
      </w:pPr>
    </w:p>
    <w:p w14:paraId="17ACEB3E" w14:textId="1756E456" w:rsidR="00121F9B" w:rsidRPr="00121F9B" w:rsidRDefault="00121F9B" w:rsidP="00E14A1A">
      <w:pPr>
        <w:pStyle w:val="Nadpis3"/>
      </w:pPr>
      <w:r w:rsidRPr="00121F9B">
        <w:t>MISE A VIZE VE VAVAI</w:t>
      </w:r>
      <w:bookmarkEnd w:id="23"/>
    </w:p>
    <w:p w14:paraId="1F39A39D" w14:textId="77777777" w:rsidR="00121F9B" w:rsidRDefault="00121F9B" w:rsidP="00121F9B">
      <w:pPr>
        <w:jc w:val="both"/>
        <w:rPr>
          <w:b/>
          <w:lang w:val="cs-CZ"/>
        </w:rPr>
      </w:pPr>
    </w:p>
    <w:tbl>
      <w:tblPr>
        <w:tblStyle w:val="Mkatabulky"/>
        <w:tblW w:w="9209" w:type="dxa"/>
        <w:tblLook w:val="04A0" w:firstRow="1" w:lastRow="0" w:firstColumn="1" w:lastColumn="0" w:noHBand="0" w:noVBand="1"/>
      </w:tblPr>
      <w:tblGrid>
        <w:gridCol w:w="9209"/>
      </w:tblGrid>
      <w:tr w:rsidR="00121F9B" w14:paraId="12D927F1" w14:textId="77777777" w:rsidTr="00892563">
        <w:tc>
          <w:tcPr>
            <w:tcW w:w="9209" w:type="dxa"/>
          </w:tcPr>
          <w:p w14:paraId="01468B84" w14:textId="01255710" w:rsidR="00121F9B" w:rsidRPr="00375A49" w:rsidRDefault="00121F9B" w:rsidP="00DD73FF">
            <w:pPr>
              <w:shd w:val="clear" w:color="auto" w:fill="90BDC5"/>
              <w:jc w:val="both"/>
              <w:rPr>
                <w:b/>
              </w:rPr>
            </w:pPr>
            <w:r w:rsidRPr="00375A49">
              <w:rPr>
                <w:b/>
              </w:rPr>
              <w:t xml:space="preserve">5.1 Mise a vize hodnocené instituce ve </w:t>
            </w:r>
            <w:r>
              <w:rPr>
                <w:b/>
              </w:rPr>
              <w:t>VaVaI</w:t>
            </w:r>
            <w:r w:rsidRPr="00375A49">
              <w:rPr>
                <w:b/>
              </w:rPr>
              <w:t xml:space="preserve"> </w:t>
            </w:r>
          </w:p>
          <w:p w14:paraId="0A62FEE4" w14:textId="2A10F8B5" w:rsidR="00900713" w:rsidRPr="00900713" w:rsidRDefault="00900713" w:rsidP="00892563">
            <w:pPr>
              <w:jc w:val="both"/>
              <w:rPr>
                <w:i/>
              </w:rPr>
            </w:pPr>
            <w:r w:rsidRPr="00900713">
              <w:rPr>
                <w:color w:val="808080" w:themeColor="background1" w:themeShade="80"/>
              </w:rPr>
              <w:t>Vysoká škola stručně popíše svou vizi a obecnou misi s důrazem na VaVaI (kontext se vzdělávací funkcí a se strategií vzdělávací politiky státu nebo příslušného ministerstva pro vysoké školství; porovnání definované mise se skutečností). Popis doplní aktivními odkazy na strategický záměr vzdělávací a vědecké, výzkumné, vývojové a inovační, umělecké nebo další tvůrčí činnosti a jeho aktualizace.</w:t>
            </w:r>
          </w:p>
        </w:tc>
      </w:tr>
    </w:tbl>
    <w:p w14:paraId="42657103" w14:textId="77777777" w:rsidR="00D862D3" w:rsidRPr="005973EB" w:rsidRDefault="00D862D3" w:rsidP="00D862D3">
      <w:pPr>
        <w:jc w:val="both"/>
        <w:rPr>
          <w:rFonts w:cstheme="minorHAnsi"/>
          <w:b/>
          <w:sz w:val="20"/>
          <w:szCs w:val="20"/>
          <w:lang w:val="cs-CZ"/>
        </w:rPr>
      </w:pPr>
    </w:p>
    <w:tbl>
      <w:tblPr>
        <w:tblStyle w:val="Mkatabulky"/>
        <w:tblW w:w="0" w:type="auto"/>
        <w:tblLook w:val="04A0" w:firstRow="1" w:lastRow="0" w:firstColumn="1" w:lastColumn="0" w:noHBand="0" w:noVBand="1"/>
      </w:tblPr>
      <w:tblGrid>
        <w:gridCol w:w="9209"/>
      </w:tblGrid>
      <w:tr w:rsidR="00D862D3" w14:paraId="17B414A0" w14:textId="77777777" w:rsidTr="00892563">
        <w:tc>
          <w:tcPr>
            <w:tcW w:w="9209" w:type="dxa"/>
          </w:tcPr>
          <w:p w14:paraId="48AD4EFD" w14:textId="77777777" w:rsidR="00D862D3" w:rsidRDefault="00D862D3" w:rsidP="00892563">
            <w:pPr>
              <w:jc w:val="both"/>
              <w:rPr>
                <w:rFonts w:cstheme="minorHAnsi"/>
                <w:b/>
              </w:rPr>
            </w:pPr>
            <w:r>
              <w:rPr>
                <w:rFonts w:cstheme="minorHAnsi"/>
                <w:b/>
              </w:rPr>
              <w:t>S</w:t>
            </w:r>
            <w:r w:rsidRPr="005973EB">
              <w:rPr>
                <w:rFonts w:cstheme="minorHAnsi"/>
                <w:b/>
              </w:rPr>
              <w:t>ebehodnocení:</w:t>
            </w:r>
          </w:p>
          <w:p w14:paraId="3BBC2404" w14:textId="77777777" w:rsidR="00D862D3" w:rsidRDefault="00D862D3" w:rsidP="00892563">
            <w:pPr>
              <w:jc w:val="both"/>
              <w:rPr>
                <w:rFonts w:cstheme="minorHAnsi"/>
                <w:b/>
              </w:rPr>
            </w:pPr>
          </w:p>
          <w:p w14:paraId="3BBE7AB4" w14:textId="77777777" w:rsidR="00D862D3" w:rsidRDefault="00D862D3" w:rsidP="00892563">
            <w:pPr>
              <w:jc w:val="both"/>
              <w:rPr>
                <w:rFonts w:cstheme="minorHAnsi"/>
                <w:b/>
              </w:rPr>
            </w:pPr>
          </w:p>
          <w:p w14:paraId="15762FA6" w14:textId="77777777" w:rsidR="00D862D3" w:rsidRDefault="00D862D3" w:rsidP="00892563">
            <w:pPr>
              <w:jc w:val="both"/>
              <w:rPr>
                <w:rFonts w:cstheme="minorHAnsi"/>
                <w:b/>
              </w:rPr>
            </w:pPr>
          </w:p>
          <w:p w14:paraId="720EA820" w14:textId="77777777" w:rsidR="00D862D3" w:rsidRDefault="00D862D3" w:rsidP="00892563">
            <w:pPr>
              <w:jc w:val="both"/>
              <w:rPr>
                <w:rFonts w:cstheme="minorHAnsi"/>
                <w:b/>
              </w:rPr>
            </w:pPr>
          </w:p>
          <w:p w14:paraId="3754D600" w14:textId="77777777" w:rsidR="00D862D3" w:rsidRDefault="00D862D3" w:rsidP="00892563">
            <w:pPr>
              <w:jc w:val="both"/>
              <w:rPr>
                <w:rFonts w:cstheme="minorHAnsi"/>
                <w:b/>
              </w:rPr>
            </w:pPr>
          </w:p>
          <w:p w14:paraId="4CA299F0" w14:textId="77777777" w:rsidR="00D862D3" w:rsidRPr="005973EB" w:rsidRDefault="00D862D3" w:rsidP="00892563">
            <w:pPr>
              <w:jc w:val="both"/>
              <w:rPr>
                <w:rFonts w:cstheme="minorHAnsi"/>
                <w:b/>
              </w:rPr>
            </w:pPr>
          </w:p>
          <w:p w14:paraId="14F86129" w14:textId="77777777" w:rsidR="00D862D3" w:rsidRDefault="00D862D3" w:rsidP="00892563">
            <w:pPr>
              <w:jc w:val="both"/>
              <w:rPr>
                <w:rFonts w:cstheme="minorHAnsi"/>
                <w:b/>
              </w:rPr>
            </w:pPr>
          </w:p>
        </w:tc>
      </w:tr>
    </w:tbl>
    <w:p w14:paraId="7287F079" w14:textId="77777777" w:rsidR="00D862D3" w:rsidRDefault="00D862D3" w:rsidP="00D862D3">
      <w:pPr>
        <w:rPr>
          <w:rFonts w:cstheme="minorHAnsi"/>
          <w:b/>
          <w:lang w:val="cs-CZ"/>
        </w:rPr>
      </w:pPr>
    </w:p>
    <w:p w14:paraId="6421548E" w14:textId="77777777" w:rsidR="00D862D3" w:rsidRPr="0097716B" w:rsidRDefault="00D862D3" w:rsidP="00D862D3">
      <w:pPr>
        <w:jc w:val="both"/>
        <w:rPr>
          <w:rFonts w:cstheme="minorHAnsi"/>
          <w:b/>
          <w:sz w:val="22"/>
          <w:szCs w:val="22"/>
          <w:lang w:val="cs-CZ"/>
        </w:rPr>
      </w:pPr>
      <w:r w:rsidRPr="0097716B">
        <w:rPr>
          <w:rFonts w:cstheme="minorHAnsi"/>
          <w:b/>
          <w:sz w:val="22"/>
          <w:szCs w:val="22"/>
          <w:lang w:val="cs-CZ"/>
        </w:rPr>
        <w:t>Odkazy v HTML na podpůrné dokumenty:</w:t>
      </w:r>
    </w:p>
    <w:p w14:paraId="28469DF5" w14:textId="77777777" w:rsidR="00900713" w:rsidRDefault="00900713" w:rsidP="00900713">
      <w:pPr>
        <w:rPr>
          <w:lang w:val="cs-CZ"/>
        </w:rPr>
      </w:pPr>
      <w:bookmarkStart w:id="24" w:name="_Toc13829035"/>
    </w:p>
    <w:p w14:paraId="38269619" w14:textId="77777777" w:rsidR="00900713" w:rsidRDefault="00900713" w:rsidP="00900713">
      <w:pPr>
        <w:rPr>
          <w:lang w:val="cs-CZ"/>
        </w:rPr>
      </w:pPr>
    </w:p>
    <w:p w14:paraId="3B590B9C" w14:textId="77777777" w:rsidR="00900713" w:rsidRDefault="00900713" w:rsidP="00900713">
      <w:pPr>
        <w:rPr>
          <w:lang w:val="cs-CZ"/>
        </w:rPr>
      </w:pPr>
    </w:p>
    <w:p w14:paraId="1F787C83" w14:textId="399F1DCA" w:rsidR="00121F9B" w:rsidRPr="00900713" w:rsidRDefault="00121F9B" w:rsidP="00900713">
      <w:pPr>
        <w:pStyle w:val="Nadpis3"/>
        <w:rPr>
          <w:lang w:val="cs-CZ"/>
        </w:rPr>
      </w:pPr>
      <w:r w:rsidRPr="00121F9B">
        <w:rPr>
          <w:lang w:val="cs-CZ"/>
        </w:rPr>
        <w:t>CÍLE A STRATEGIE VAVAI</w:t>
      </w:r>
      <w:bookmarkEnd w:id="24"/>
    </w:p>
    <w:p w14:paraId="4E9BE859" w14:textId="77777777" w:rsidR="00121F9B" w:rsidRDefault="00121F9B" w:rsidP="00121F9B">
      <w:pPr>
        <w:jc w:val="both"/>
        <w:rPr>
          <w:b/>
          <w:lang w:val="cs-CZ"/>
        </w:rPr>
      </w:pPr>
    </w:p>
    <w:tbl>
      <w:tblPr>
        <w:tblStyle w:val="Mkatabulky"/>
        <w:tblW w:w="9209" w:type="dxa"/>
        <w:tblLook w:val="04A0" w:firstRow="1" w:lastRow="0" w:firstColumn="1" w:lastColumn="0" w:noHBand="0" w:noVBand="1"/>
      </w:tblPr>
      <w:tblGrid>
        <w:gridCol w:w="9209"/>
      </w:tblGrid>
      <w:tr w:rsidR="00121F9B" w14:paraId="37F173A6" w14:textId="77777777" w:rsidTr="00892563">
        <w:tc>
          <w:tcPr>
            <w:tcW w:w="9209" w:type="dxa"/>
          </w:tcPr>
          <w:p w14:paraId="4E2D8B34" w14:textId="5E3EABBB" w:rsidR="00121F9B" w:rsidRPr="00375A49" w:rsidRDefault="00BB738F" w:rsidP="00DD73FF">
            <w:pPr>
              <w:shd w:val="clear" w:color="auto" w:fill="90BDC5"/>
              <w:jc w:val="both"/>
              <w:rPr>
                <w:b/>
              </w:rPr>
            </w:pPr>
            <w:r w:rsidRPr="00375A49">
              <w:rPr>
                <w:b/>
              </w:rPr>
              <w:t>5.2 Výzkumné cíle a strategie pro období do dalšího hodnocení</w:t>
            </w:r>
            <w:r w:rsidR="00121F9B" w:rsidRPr="00375A49">
              <w:rPr>
                <w:b/>
              </w:rPr>
              <w:t xml:space="preserve"> </w:t>
            </w:r>
          </w:p>
          <w:p w14:paraId="444220CF" w14:textId="3510C20C" w:rsidR="00BB738F" w:rsidRPr="00900713" w:rsidRDefault="00900713" w:rsidP="00BB738F">
            <w:pPr>
              <w:jc w:val="both"/>
              <w:rPr>
                <w:i/>
              </w:rPr>
            </w:pPr>
            <w:r w:rsidRPr="00900713">
              <w:rPr>
                <w:color w:val="808080" w:themeColor="background1" w:themeShade="80"/>
              </w:rPr>
              <w:t>Vysoká škola stručně popíše svou výzkumnou strategii a cíle (např. konkrétnost, realizovatelnost, mezinárodní kontext strategického záměru vzdělávací a vědecké, výzkumné, vývojové a inovační, umělecké nebo další tvůrčí činnosti a jeho aktualizace). Relevantní je popis zjišťování potřeb společnosti, resp. trhu.</w:t>
            </w:r>
          </w:p>
        </w:tc>
      </w:tr>
    </w:tbl>
    <w:p w14:paraId="6DB5BC80" w14:textId="77777777" w:rsidR="00D862D3" w:rsidRPr="005973EB" w:rsidRDefault="00D862D3" w:rsidP="00D862D3">
      <w:pPr>
        <w:jc w:val="both"/>
        <w:rPr>
          <w:rFonts w:cstheme="minorHAnsi"/>
          <w:b/>
          <w:sz w:val="20"/>
          <w:szCs w:val="20"/>
          <w:lang w:val="cs-CZ"/>
        </w:rPr>
      </w:pPr>
    </w:p>
    <w:tbl>
      <w:tblPr>
        <w:tblStyle w:val="Mkatabulky"/>
        <w:tblW w:w="0" w:type="auto"/>
        <w:tblLook w:val="04A0" w:firstRow="1" w:lastRow="0" w:firstColumn="1" w:lastColumn="0" w:noHBand="0" w:noVBand="1"/>
      </w:tblPr>
      <w:tblGrid>
        <w:gridCol w:w="9209"/>
      </w:tblGrid>
      <w:tr w:rsidR="00D862D3" w14:paraId="43DB7B5B" w14:textId="77777777" w:rsidTr="00892563">
        <w:tc>
          <w:tcPr>
            <w:tcW w:w="9209" w:type="dxa"/>
          </w:tcPr>
          <w:p w14:paraId="700D706F" w14:textId="77777777" w:rsidR="00D862D3" w:rsidRDefault="00D862D3" w:rsidP="00892563">
            <w:pPr>
              <w:jc w:val="both"/>
              <w:rPr>
                <w:rFonts w:cstheme="minorHAnsi"/>
                <w:b/>
              </w:rPr>
            </w:pPr>
            <w:r>
              <w:rPr>
                <w:rFonts w:cstheme="minorHAnsi"/>
                <w:b/>
              </w:rPr>
              <w:t>S</w:t>
            </w:r>
            <w:r w:rsidRPr="005973EB">
              <w:rPr>
                <w:rFonts w:cstheme="minorHAnsi"/>
                <w:b/>
              </w:rPr>
              <w:t>ebehodnocení:</w:t>
            </w:r>
          </w:p>
          <w:p w14:paraId="4E9F4EEE" w14:textId="77777777" w:rsidR="00D862D3" w:rsidRDefault="00D862D3" w:rsidP="00892563">
            <w:pPr>
              <w:jc w:val="both"/>
              <w:rPr>
                <w:rFonts w:cstheme="minorHAnsi"/>
                <w:b/>
              </w:rPr>
            </w:pPr>
          </w:p>
          <w:p w14:paraId="50A3DCFF" w14:textId="77777777" w:rsidR="00D862D3" w:rsidRDefault="00D862D3" w:rsidP="00892563">
            <w:pPr>
              <w:jc w:val="both"/>
              <w:rPr>
                <w:rFonts w:cstheme="minorHAnsi"/>
                <w:b/>
              </w:rPr>
            </w:pPr>
          </w:p>
          <w:p w14:paraId="396208FD" w14:textId="77777777" w:rsidR="00D862D3" w:rsidRDefault="00D862D3" w:rsidP="00892563">
            <w:pPr>
              <w:jc w:val="both"/>
              <w:rPr>
                <w:rFonts w:cstheme="minorHAnsi"/>
                <w:b/>
              </w:rPr>
            </w:pPr>
          </w:p>
          <w:p w14:paraId="00FFB066" w14:textId="77777777" w:rsidR="00D862D3" w:rsidRDefault="00D862D3" w:rsidP="00892563">
            <w:pPr>
              <w:jc w:val="both"/>
              <w:rPr>
                <w:rFonts w:cstheme="minorHAnsi"/>
                <w:b/>
              </w:rPr>
            </w:pPr>
          </w:p>
          <w:p w14:paraId="6C1EEE67" w14:textId="77777777" w:rsidR="00D862D3" w:rsidRDefault="00D862D3" w:rsidP="00892563">
            <w:pPr>
              <w:jc w:val="both"/>
              <w:rPr>
                <w:rFonts w:cstheme="minorHAnsi"/>
                <w:b/>
              </w:rPr>
            </w:pPr>
          </w:p>
          <w:p w14:paraId="79ACCBD8" w14:textId="77777777" w:rsidR="00D862D3" w:rsidRPr="005973EB" w:rsidRDefault="00D862D3" w:rsidP="00892563">
            <w:pPr>
              <w:jc w:val="both"/>
              <w:rPr>
                <w:rFonts w:cstheme="minorHAnsi"/>
                <w:b/>
              </w:rPr>
            </w:pPr>
          </w:p>
          <w:p w14:paraId="75150E88" w14:textId="77777777" w:rsidR="00D862D3" w:rsidRDefault="00D862D3" w:rsidP="00892563">
            <w:pPr>
              <w:jc w:val="both"/>
              <w:rPr>
                <w:rFonts w:cstheme="minorHAnsi"/>
                <w:b/>
              </w:rPr>
            </w:pPr>
          </w:p>
        </w:tc>
      </w:tr>
    </w:tbl>
    <w:p w14:paraId="561826F4" w14:textId="77777777" w:rsidR="00D862D3" w:rsidRDefault="00D862D3" w:rsidP="00D862D3">
      <w:pPr>
        <w:rPr>
          <w:rFonts w:cstheme="minorHAnsi"/>
          <w:b/>
          <w:lang w:val="cs-CZ"/>
        </w:rPr>
      </w:pPr>
    </w:p>
    <w:p w14:paraId="779B30C2" w14:textId="77777777" w:rsidR="00D862D3" w:rsidRPr="0097716B" w:rsidRDefault="00D862D3" w:rsidP="00D862D3">
      <w:pPr>
        <w:jc w:val="both"/>
        <w:rPr>
          <w:rFonts w:cstheme="minorHAnsi"/>
          <w:b/>
          <w:sz w:val="22"/>
          <w:szCs w:val="22"/>
          <w:lang w:val="cs-CZ"/>
        </w:rPr>
      </w:pPr>
      <w:r w:rsidRPr="0097716B">
        <w:rPr>
          <w:rFonts w:cstheme="minorHAnsi"/>
          <w:b/>
          <w:sz w:val="22"/>
          <w:szCs w:val="22"/>
          <w:lang w:val="cs-CZ"/>
        </w:rPr>
        <w:t>Odkazy v HTML na podpůrné dokumenty:</w:t>
      </w:r>
    </w:p>
    <w:p w14:paraId="461304C4" w14:textId="77777777" w:rsidR="00BB738F" w:rsidRPr="00121F9B" w:rsidRDefault="00BB738F" w:rsidP="00BB738F">
      <w:pPr>
        <w:jc w:val="both"/>
        <w:rPr>
          <w:rFonts w:cstheme="minorHAnsi"/>
          <w:b/>
          <w:sz w:val="20"/>
          <w:szCs w:val="20"/>
          <w:lang w:val="cs-CZ"/>
        </w:rPr>
      </w:pPr>
    </w:p>
    <w:p w14:paraId="084A5F40" w14:textId="77777777" w:rsidR="00BB738F" w:rsidRDefault="00BB738F" w:rsidP="00BB738F">
      <w:pPr>
        <w:rPr>
          <w:b/>
          <w:lang w:val="cs-CZ"/>
        </w:rPr>
      </w:pPr>
    </w:p>
    <w:p w14:paraId="2834D1D9" w14:textId="77777777" w:rsidR="00BB738F" w:rsidRPr="00375A49" w:rsidRDefault="00BB738F" w:rsidP="00BB738F">
      <w:pPr>
        <w:jc w:val="both"/>
        <w:rPr>
          <w:i/>
          <w:lang w:val="cs-CZ"/>
        </w:rPr>
      </w:pPr>
    </w:p>
    <w:p w14:paraId="0D634322" w14:textId="77777777" w:rsidR="00BB738F" w:rsidRPr="00375A49" w:rsidRDefault="00BB738F" w:rsidP="00BB738F">
      <w:pPr>
        <w:jc w:val="both"/>
        <w:rPr>
          <w:rFonts w:cstheme="minorHAnsi"/>
          <w:b/>
          <w:lang w:val="cs-CZ"/>
        </w:rPr>
      </w:pPr>
    </w:p>
    <w:p w14:paraId="4102BE5B" w14:textId="77777777" w:rsidR="00DD6DC8" w:rsidRDefault="00DD6DC8">
      <w:pPr>
        <w:rPr>
          <w:rFonts w:cstheme="minorHAnsi"/>
          <w:b/>
          <w:color w:val="808080" w:themeColor="background1" w:themeShade="80"/>
          <w:lang w:val="cs-CZ"/>
        </w:rPr>
      </w:pPr>
      <w:r>
        <w:rPr>
          <w:rFonts w:cstheme="minorHAnsi"/>
          <w:b/>
          <w:color w:val="808080" w:themeColor="background1" w:themeShade="80"/>
          <w:lang w:val="cs-CZ"/>
        </w:rPr>
        <w:br w:type="page"/>
      </w:r>
    </w:p>
    <w:p w14:paraId="58B1CAC9" w14:textId="2AE8D366" w:rsidR="00121F9B" w:rsidRPr="00BB738F" w:rsidRDefault="00121F9B" w:rsidP="00CA1F26">
      <w:pPr>
        <w:pStyle w:val="Nadpis3"/>
        <w:rPr>
          <w:lang w:val="cs-CZ"/>
        </w:rPr>
      </w:pPr>
      <w:bookmarkStart w:id="25" w:name="_Toc13829036"/>
      <w:r w:rsidRPr="00BB738F">
        <w:rPr>
          <w:lang w:val="cs-CZ"/>
        </w:rPr>
        <w:lastRenderedPageBreak/>
        <w:t>NÁRODNÍ A MEZINÁRODNÍ KONTEXT VAVAI</w:t>
      </w:r>
      <w:bookmarkEnd w:id="25"/>
    </w:p>
    <w:p w14:paraId="0DE2CE59" w14:textId="77777777" w:rsidR="00121F9B" w:rsidRDefault="00121F9B" w:rsidP="00121F9B">
      <w:pPr>
        <w:jc w:val="both"/>
        <w:rPr>
          <w:b/>
          <w:lang w:val="cs-CZ"/>
        </w:rPr>
      </w:pPr>
    </w:p>
    <w:tbl>
      <w:tblPr>
        <w:tblStyle w:val="Mkatabulky"/>
        <w:tblW w:w="9209" w:type="dxa"/>
        <w:tblLook w:val="04A0" w:firstRow="1" w:lastRow="0" w:firstColumn="1" w:lastColumn="0" w:noHBand="0" w:noVBand="1"/>
      </w:tblPr>
      <w:tblGrid>
        <w:gridCol w:w="9209"/>
      </w:tblGrid>
      <w:tr w:rsidR="00121F9B" w14:paraId="674E2F7B" w14:textId="77777777" w:rsidTr="00892563">
        <w:tc>
          <w:tcPr>
            <w:tcW w:w="9209" w:type="dxa"/>
          </w:tcPr>
          <w:p w14:paraId="5112E7F9" w14:textId="52B00204" w:rsidR="00121F9B" w:rsidRPr="00375A49" w:rsidRDefault="00BB738F" w:rsidP="00DD73FF">
            <w:pPr>
              <w:shd w:val="clear" w:color="auto" w:fill="90BDC5"/>
              <w:jc w:val="both"/>
              <w:rPr>
                <w:b/>
              </w:rPr>
            </w:pPr>
            <w:r w:rsidRPr="00375A49">
              <w:rPr>
                <w:b/>
              </w:rPr>
              <w:t xml:space="preserve">5.3 Vazba na plnění vyšších národních a nadnárodních strategických cílů a opatření v oblasti </w:t>
            </w:r>
            <w:r>
              <w:rPr>
                <w:b/>
              </w:rPr>
              <w:t>VaVaI</w:t>
            </w:r>
            <w:r w:rsidR="00121F9B" w:rsidRPr="00375A49">
              <w:rPr>
                <w:b/>
              </w:rPr>
              <w:t xml:space="preserve"> </w:t>
            </w:r>
          </w:p>
          <w:p w14:paraId="5D5A2BC6" w14:textId="51995D68" w:rsidR="00BB738F" w:rsidRPr="00900713" w:rsidRDefault="00900713" w:rsidP="00BB738F">
            <w:pPr>
              <w:jc w:val="both"/>
              <w:rPr>
                <w:i/>
              </w:rPr>
            </w:pPr>
            <w:r w:rsidRPr="00900713">
              <w:rPr>
                <w:color w:val="808080" w:themeColor="background1" w:themeShade="80"/>
              </w:rPr>
              <w:t>Vysoká škola stručně popíše vazbu svých koncepcí souvisejících s VaVaI na plnění vyšších národních a nadnárodních strategických cílů a opatření v oblasti VaVaI: kontext s platnými dokumenty, např. Sdělení Evropské komise Evropa 2020 - Strategie pro inteligentní a udržitelný růst podporující začlenění, Národní politika výzkumu, vývoje a inovací na léta 2016 až 2020, Národní priority výzkumu, experimentálního vývoje a inovací, Národní výzkumnou a inovační strategii pro inteligentní specializaci České republiky (Národní RIS 3 strategie) apod.</w:t>
            </w:r>
          </w:p>
        </w:tc>
      </w:tr>
    </w:tbl>
    <w:p w14:paraId="17AA85AE" w14:textId="77777777" w:rsidR="00D862D3" w:rsidRPr="005973EB" w:rsidRDefault="00D862D3" w:rsidP="00D862D3">
      <w:pPr>
        <w:jc w:val="both"/>
        <w:rPr>
          <w:rFonts w:cstheme="minorHAnsi"/>
          <w:b/>
          <w:sz w:val="20"/>
          <w:szCs w:val="20"/>
          <w:lang w:val="cs-CZ"/>
        </w:rPr>
      </w:pPr>
    </w:p>
    <w:tbl>
      <w:tblPr>
        <w:tblStyle w:val="Mkatabulky"/>
        <w:tblW w:w="0" w:type="auto"/>
        <w:tblLook w:val="04A0" w:firstRow="1" w:lastRow="0" w:firstColumn="1" w:lastColumn="0" w:noHBand="0" w:noVBand="1"/>
      </w:tblPr>
      <w:tblGrid>
        <w:gridCol w:w="9209"/>
      </w:tblGrid>
      <w:tr w:rsidR="00D862D3" w14:paraId="530C8F5B" w14:textId="77777777" w:rsidTr="00892563">
        <w:tc>
          <w:tcPr>
            <w:tcW w:w="9209" w:type="dxa"/>
          </w:tcPr>
          <w:p w14:paraId="03D719CA" w14:textId="77777777" w:rsidR="00D862D3" w:rsidRDefault="00D862D3" w:rsidP="00892563">
            <w:pPr>
              <w:jc w:val="both"/>
              <w:rPr>
                <w:rFonts w:cstheme="minorHAnsi"/>
                <w:b/>
              </w:rPr>
            </w:pPr>
            <w:r>
              <w:rPr>
                <w:rFonts w:cstheme="minorHAnsi"/>
                <w:b/>
              </w:rPr>
              <w:t>S</w:t>
            </w:r>
            <w:r w:rsidRPr="005973EB">
              <w:rPr>
                <w:rFonts w:cstheme="minorHAnsi"/>
                <w:b/>
              </w:rPr>
              <w:t>ebehodnocení:</w:t>
            </w:r>
          </w:p>
          <w:p w14:paraId="6E0508FC" w14:textId="77777777" w:rsidR="00D862D3" w:rsidRDefault="00D862D3" w:rsidP="00892563">
            <w:pPr>
              <w:jc w:val="both"/>
              <w:rPr>
                <w:rFonts w:cstheme="minorHAnsi"/>
                <w:b/>
              </w:rPr>
            </w:pPr>
          </w:p>
          <w:p w14:paraId="5236AB00" w14:textId="77777777" w:rsidR="00D862D3" w:rsidRDefault="00D862D3" w:rsidP="00892563">
            <w:pPr>
              <w:jc w:val="both"/>
              <w:rPr>
                <w:rFonts w:cstheme="minorHAnsi"/>
                <w:b/>
              </w:rPr>
            </w:pPr>
          </w:p>
          <w:p w14:paraId="164AF7CB" w14:textId="77777777" w:rsidR="00D862D3" w:rsidRDefault="00D862D3" w:rsidP="00892563">
            <w:pPr>
              <w:jc w:val="both"/>
              <w:rPr>
                <w:rFonts w:cstheme="minorHAnsi"/>
                <w:b/>
              </w:rPr>
            </w:pPr>
          </w:p>
          <w:p w14:paraId="5510E396" w14:textId="77777777" w:rsidR="00D862D3" w:rsidRDefault="00D862D3" w:rsidP="00892563">
            <w:pPr>
              <w:jc w:val="both"/>
              <w:rPr>
                <w:rFonts w:cstheme="minorHAnsi"/>
                <w:b/>
              </w:rPr>
            </w:pPr>
          </w:p>
          <w:p w14:paraId="03F7DE38" w14:textId="77777777" w:rsidR="00D862D3" w:rsidRDefault="00D862D3" w:rsidP="00892563">
            <w:pPr>
              <w:jc w:val="both"/>
              <w:rPr>
                <w:rFonts w:cstheme="minorHAnsi"/>
                <w:b/>
              </w:rPr>
            </w:pPr>
          </w:p>
          <w:p w14:paraId="5714ACF6" w14:textId="77777777" w:rsidR="00D862D3" w:rsidRPr="005973EB" w:rsidRDefault="00D862D3" w:rsidP="00892563">
            <w:pPr>
              <w:jc w:val="both"/>
              <w:rPr>
                <w:rFonts w:cstheme="minorHAnsi"/>
                <w:b/>
              </w:rPr>
            </w:pPr>
          </w:p>
          <w:p w14:paraId="4F3C300F" w14:textId="77777777" w:rsidR="00D862D3" w:rsidRDefault="00D862D3" w:rsidP="00892563">
            <w:pPr>
              <w:jc w:val="both"/>
              <w:rPr>
                <w:rFonts w:cstheme="minorHAnsi"/>
                <w:b/>
              </w:rPr>
            </w:pPr>
          </w:p>
        </w:tc>
      </w:tr>
    </w:tbl>
    <w:p w14:paraId="23E48315" w14:textId="77777777" w:rsidR="00D862D3" w:rsidRDefault="00D862D3" w:rsidP="00D862D3">
      <w:pPr>
        <w:rPr>
          <w:rFonts w:cstheme="minorHAnsi"/>
          <w:b/>
          <w:lang w:val="cs-CZ"/>
        </w:rPr>
      </w:pPr>
    </w:p>
    <w:p w14:paraId="10857B1F" w14:textId="77777777" w:rsidR="00D862D3" w:rsidRPr="0097716B" w:rsidRDefault="00D862D3" w:rsidP="00D862D3">
      <w:pPr>
        <w:jc w:val="both"/>
        <w:rPr>
          <w:rFonts w:cstheme="minorHAnsi"/>
          <w:b/>
          <w:sz w:val="22"/>
          <w:szCs w:val="22"/>
          <w:lang w:val="cs-CZ"/>
        </w:rPr>
      </w:pPr>
      <w:r w:rsidRPr="0097716B">
        <w:rPr>
          <w:rFonts w:cstheme="minorHAnsi"/>
          <w:b/>
          <w:sz w:val="22"/>
          <w:szCs w:val="22"/>
          <w:lang w:val="cs-CZ"/>
        </w:rPr>
        <w:t>Odkazy v HTML na podpůrné dokumenty:</w:t>
      </w:r>
    </w:p>
    <w:p w14:paraId="5DA1CB62" w14:textId="77777777" w:rsidR="00BB738F" w:rsidRPr="00121F9B" w:rsidRDefault="00BB738F" w:rsidP="00BB738F">
      <w:pPr>
        <w:jc w:val="both"/>
        <w:rPr>
          <w:rFonts w:cstheme="minorHAnsi"/>
          <w:b/>
          <w:sz w:val="20"/>
          <w:szCs w:val="20"/>
          <w:lang w:val="cs-CZ"/>
        </w:rPr>
      </w:pPr>
    </w:p>
    <w:p w14:paraId="020B5978" w14:textId="77777777" w:rsidR="00BB738F" w:rsidRDefault="00BB738F" w:rsidP="00BB738F">
      <w:pPr>
        <w:rPr>
          <w:b/>
          <w:lang w:val="cs-CZ"/>
        </w:rPr>
      </w:pPr>
    </w:p>
    <w:p w14:paraId="0873F5B0" w14:textId="77777777" w:rsidR="00BB738F" w:rsidRPr="00375A49" w:rsidRDefault="00BB738F" w:rsidP="00BB738F">
      <w:pPr>
        <w:jc w:val="both"/>
        <w:rPr>
          <w:i/>
          <w:lang w:val="cs-CZ"/>
        </w:rPr>
      </w:pPr>
    </w:p>
    <w:p w14:paraId="653794FE" w14:textId="77777777" w:rsidR="00BB738F" w:rsidRDefault="00BB738F" w:rsidP="00BB738F">
      <w:pPr>
        <w:jc w:val="both"/>
        <w:rPr>
          <w:b/>
          <w:lang w:val="cs-CZ"/>
        </w:rPr>
      </w:pPr>
    </w:p>
    <w:tbl>
      <w:tblPr>
        <w:tblStyle w:val="Mkatabulky"/>
        <w:tblW w:w="9209" w:type="dxa"/>
        <w:tblLook w:val="04A0" w:firstRow="1" w:lastRow="0" w:firstColumn="1" w:lastColumn="0" w:noHBand="0" w:noVBand="1"/>
      </w:tblPr>
      <w:tblGrid>
        <w:gridCol w:w="9209"/>
      </w:tblGrid>
      <w:tr w:rsidR="00BB738F" w14:paraId="67C67199" w14:textId="77777777" w:rsidTr="00892563">
        <w:tc>
          <w:tcPr>
            <w:tcW w:w="9209" w:type="dxa"/>
          </w:tcPr>
          <w:p w14:paraId="44EC7745" w14:textId="77777777" w:rsidR="00BB738F" w:rsidRPr="00273BB3" w:rsidRDefault="00BB738F" w:rsidP="00DD73FF">
            <w:pPr>
              <w:shd w:val="clear" w:color="auto" w:fill="90BDC5"/>
              <w:jc w:val="both"/>
              <w:rPr>
                <w:b/>
              </w:rPr>
            </w:pPr>
            <w:r w:rsidRPr="00375A49">
              <w:rPr>
                <w:b/>
              </w:rPr>
              <w:t xml:space="preserve">5.4 Strategie a nástroje </w:t>
            </w:r>
            <w:r w:rsidRPr="00273BB3">
              <w:rPr>
                <w:b/>
              </w:rPr>
              <w:t>strategického řízení pro zvyšování mezinárodní nebo oborové konkurenceschopnosti výzkumné činnosti vysoké školy a její kvality</w:t>
            </w:r>
          </w:p>
          <w:p w14:paraId="7955B324" w14:textId="567ED701" w:rsidR="00BB738F" w:rsidRPr="00900713" w:rsidRDefault="00900713" w:rsidP="00BB738F">
            <w:pPr>
              <w:jc w:val="both"/>
              <w:rPr>
                <w:i/>
              </w:rPr>
            </w:pPr>
            <w:r w:rsidRPr="00900713">
              <w:rPr>
                <w:color w:val="808080" w:themeColor="background1" w:themeShade="80"/>
              </w:rPr>
              <w:t>Vysoká škola stručně popíše svou strategii a nástroje strategického řízení pro zvyšování mezinárodní nebo oborové konkurenceschopnosti výzkumné činnosti vysoké školy a její kvality. V příloze předloží seznam referující o tom, jakých nejvýznamnějších mezinárodních hodnocení v oblasti VaVaI se zúčastnila. Dále představí svoji vizi a strategii na následující pětileté období.</w:t>
            </w:r>
            <w:r w:rsidRPr="00375A49">
              <w:rPr>
                <w:i/>
              </w:rPr>
              <w:t xml:space="preserve"> </w:t>
            </w:r>
          </w:p>
        </w:tc>
      </w:tr>
    </w:tbl>
    <w:p w14:paraId="6BD11A78" w14:textId="77777777" w:rsidR="00D862D3" w:rsidRPr="005973EB" w:rsidRDefault="00D862D3" w:rsidP="00D862D3">
      <w:pPr>
        <w:jc w:val="both"/>
        <w:rPr>
          <w:rFonts w:cstheme="minorHAnsi"/>
          <w:b/>
          <w:sz w:val="20"/>
          <w:szCs w:val="20"/>
          <w:lang w:val="cs-CZ"/>
        </w:rPr>
      </w:pPr>
    </w:p>
    <w:tbl>
      <w:tblPr>
        <w:tblStyle w:val="Mkatabulky"/>
        <w:tblW w:w="0" w:type="auto"/>
        <w:tblLook w:val="04A0" w:firstRow="1" w:lastRow="0" w:firstColumn="1" w:lastColumn="0" w:noHBand="0" w:noVBand="1"/>
      </w:tblPr>
      <w:tblGrid>
        <w:gridCol w:w="9209"/>
      </w:tblGrid>
      <w:tr w:rsidR="00D862D3" w14:paraId="3D1888A1" w14:textId="77777777" w:rsidTr="00892563">
        <w:tc>
          <w:tcPr>
            <w:tcW w:w="9209" w:type="dxa"/>
          </w:tcPr>
          <w:p w14:paraId="4FF14F00" w14:textId="77777777" w:rsidR="00D862D3" w:rsidRDefault="00D862D3" w:rsidP="00892563">
            <w:pPr>
              <w:jc w:val="both"/>
              <w:rPr>
                <w:rFonts w:cstheme="minorHAnsi"/>
                <w:b/>
              </w:rPr>
            </w:pPr>
            <w:r>
              <w:rPr>
                <w:rFonts w:cstheme="minorHAnsi"/>
                <w:b/>
              </w:rPr>
              <w:t>S</w:t>
            </w:r>
            <w:r w:rsidRPr="005973EB">
              <w:rPr>
                <w:rFonts w:cstheme="minorHAnsi"/>
                <w:b/>
              </w:rPr>
              <w:t>ebehodnocení:</w:t>
            </w:r>
          </w:p>
          <w:p w14:paraId="777091EE" w14:textId="77777777" w:rsidR="00D862D3" w:rsidRDefault="00D862D3" w:rsidP="00892563">
            <w:pPr>
              <w:jc w:val="both"/>
              <w:rPr>
                <w:rFonts w:cstheme="minorHAnsi"/>
                <w:b/>
              </w:rPr>
            </w:pPr>
          </w:p>
          <w:p w14:paraId="349B5CFC" w14:textId="77777777" w:rsidR="00D862D3" w:rsidRDefault="00D862D3" w:rsidP="00892563">
            <w:pPr>
              <w:jc w:val="both"/>
              <w:rPr>
                <w:rFonts w:cstheme="minorHAnsi"/>
                <w:b/>
              </w:rPr>
            </w:pPr>
          </w:p>
          <w:p w14:paraId="474AFD66" w14:textId="77777777" w:rsidR="00D862D3" w:rsidRDefault="00D862D3" w:rsidP="00892563">
            <w:pPr>
              <w:jc w:val="both"/>
              <w:rPr>
                <w:rFonts w:cstheme="minorHAnsi"/>
                <w:b/>
              </w:rPr>
            </w:pPr>
          </w:p>
          <w:p w14:paraId="22E80155" w14:textId="77777777" w:rsidR="00D862D3" w:rsidRDefault="00D862D3" w:rsidP="00892563">
            <w:pPr>
              <w:jc w:val="both"/>
              <w:rPr>
                <w:rFonts w:cstheme="minorHAnsi"/>
                <w:b/>
              </w:rPr>
            </w:pPr>
          </w:p>
          <w:p w14:paraId="3987D419" w14:textId="77777777" w:rsidR="00D862D3" w:rsidRDefault="00D862D3" w:rsidP="00892563">
            <w:pPr>
              <w:jc w:val="both"/>
              <w:rPr>
                <w:rFonts w:cstheme="minorHAnsi"/>
                <w:b/>
              </w:rPr>
            </w:pPr>
          </w:p>
          <w:p w14:paraId="2AE0A218" w14:textId="77777777" w:rsidR="00D862D3" w:rsidRPr="005973EB" w:rsidRDefault="00D862D3" w:rsidP="00892563">
            <w:pPr>
              <w:jc w:val="both"/>
              <w:rPr>
                <w:rFonts w:cstheme="minorHAnsi"/>
                <w:b/>
              </w:rPr>
            </w:pPr>
          </w:p>
          <w:p w14:paraId="06B7327D" w14:textId="77777777" w:rsidR="00D862D3" w:rsidRDefault="00D862D3" w:rsidP="00892563">
            <w:pPr>
              <w:jc w:val="both"/>
              <w:rPr>
                <w:rFonts w:cstheme="minorHAnsi"/>
                <w:b/>
              </w:rPr>
            </w:pPr>
          </w:p>
        </w:tc>
      </w:tr>
    </w:tbl>
    <w:p w14:paraId="713E4A33" w14:textId="77777777" w:rsidR="00D862D3" w:rsidRDefault="00D862D3" w:rsidP="00D862D3">
      <w:pPr>
        <w:rPr>
          <w:rFonts w:cstheme="minorHAnsi"/>
          <w:b/>
          <w:lang w:val="cs-CZ"/>
        </w:rPr>
      </w:pPr>
    </w:p>
    <w:p w14:paraId="7DB16BD4" w14:textId="77777777" w:rsidR="00D862D3" w:rsidRPr="0097716B" w:rsidRDefault="00D862D3" w:rsidP="00D862D3">
      <w:pPr>
        <w:jc w:val="both"/>
        <w:rPr>
          <w:rFonts w:cstheme="minorHAnsi"/>
          <w:b/>
          <w:sz w:val="22"/>
          <w:szCs w:val="22"/>
          <w:lang w:val="cs-CZ"/>
        </w:rPr>
      </w:pPr>
      <w:r w:rsidRPr="0097716B">
        <w:rPr>
          <w:rFonts w:cstheme="minorHAnsi"/>
          <w:b/>
          <w:sz w:val="22"/>
          <w:szCs w:val="22"/>
          <w:lang w:val="cs-CZ"/>
        </w:rPr>
        <w:t>Odkazy v HTML na podpůrné dokumenty:</w:t>
      </w:r>
    </w:p>
    <w:p w14:paraId="60AB554E" w14:textId="77777777" w:rsidR="00BB738F" w:rsidRPr="00121F9B" w:rsidRDefault="00BB738F" w:rsidP="00BB738F">
      <w:pPr>
        <w:jc w:val="both"/>
        <w:rPr>
          <w:rFonts w:cstheme="minorHAnsi"/>
          <w:b/>
          <w:sz w:val="20"/>
          <w:szCs w:val="20"/>
          <w:lang w:val="cs-CZ"/>
        </w:rPr>
      </w:pPr>
    </w:p>
    <w:p w14:paraId="7E7F2124" w14:textId="77777777" w:rsidR="00BB738F" w:rsidRDefault="00BB738F" w:rsidP="00BB738F">
      <w:pPr>
        <w:rPr>
          <w:b/>
          <w:lang w:val="cs-CZ"/>
        </w:rPr>
      </w:pPr>
    </w:p>
    <w:p w14:paraId="6E275D08" w14:textId="77777777" w:rsidR="00BB738F" w:rsidRPr="00375A49" w:rsidRDefault="00BB738F" w:rsidP="00BB738F">
      <w:pPr>
        <w:jc w:val="both"/>
        <w:rPr>
          <w:i/>
          <w:lang w:val="cs-CZ"/>
        </w:rPr>
      </w:pPr>
    </w:p>
    <w:p w14:paraId="7728FEF4" w14:textId="77777777" w:rsidR="00BB738F" w:rsidRDefault="00BB738F" w:rsidP="00BB738F">
      <w:pPr>
        <w:jc w:val="both"/>
        <w:rPr>
          <w:rFonts w:cstheme="minorHAnsi"/>
          <w:b/>
          <w:lang w:val="cs-CZ"/>
        </w:rPr>
      </w:pPr>
    </w:p>
    <w:p w14:paraId="621F20EF" w14:textId="77777777" w:rsidR="00900713" w:rsidRPr="00375A49" w:rsidRDefault="00900713" w:rsidP="00BB738F">
      <w:pPr>
        <w:jc w:val="both"/>
        <w:rPr>
          <w:rFonts w:cstheme="minorHAnsi"/>
          <w:b/>
          <w:lang w:val="cs-CZ"/>
        </w:rPr>
      </w:pPr>
    </w:p>
    <w:p w14:paraId="675572E2" w14:textId="40D754B0" w:rsidR="00121F9B" w:rsidRPr="00BB738F" w:rsidRDefault="00121F9B" w:rsidP="00CA1F26">
      <w:pPr>
        <w:pStyle w:val="Nadpis3"/>
        <w:rPr>
          <w:lang w:val="cs-CZ"/>
        </w:rPr>
      </w:pPr>
      <w:bookmarkStart w:id="26" w:name="_Toc13829037"/>
      <w:r w:rsidRPr="00BB738F">
        <w:rPr>
          <w:lang w:val="cs-CZ"/>
        </w:rPr>
        <w:lastRenderedPageBreak/>
        <w:t>NÁSTROJE PRO NAPLŇOVÁNÍ VÝZKUMNÉ STRATEGIE</w:t>
      </w:r>
      <w:bookmarkEnd w:id="26"/>
    </w:p>
    <w:p w14:paraId="163E46D5" w14:textId="77777777" w:rsidR="00BB738F" w:rsidRDefault="00BB738F" w:rsidP="00BB738F">
      <w:pPr>
        <w:jc w:val="both"/>
        <w:rPr>
          <w:b/>
          <w:lang w:val="cs-CZ"/>
        </w:rPr>
      </w:pPr>
    </w:p>
    <w:tbl>
      <w:tblPr>
        <w:tblStyle w:val="Mkatabulky"/>
        <w:tblW w:w="9209" w:type="dxa"/>
        <w:tblLook w:val="04A0" w:firstRow="1" w:lastRow="0" w:firstColumn="1" w:lastColumn="0" w:noHBand="0" w:noVBand="1"/>
      </w:tblPr>
      <w:tblGrid>
        <w:gridCol w:w="9209"/>
      </w:tblGrid>
      <w:tr w:rsidR="00BB738F" w14:paraId="19E3F46B" w14:textId="77777777" w:rsidTr="00892563">
        <w:tc>
          <w:tcPr>
            <w:tcW w:w="9209" w:type="dxa"/>
          </w:tcPr>
          <w:p w14:paraId="35A139B0" w14:textId="77777777" w:rsidR="00BB738F" w:rsidRPr="00375A49" w:rsidRDefault="00BB738F" w:rsidP="00DD73FF">
            <w:pPr>
              <w:shd w:val="clear" w:color="auto" w:fill="90BDC5"/>
              <w:jc w:val="both"/>
              <w:rPr>
                <w:b/>
              </w:rPr>
            </w:pPr>
            <w:r w:rsidRPr="00375A49">
              <w:rPr>
                <w:b/>
              </w:rPr>
              <w:t xml:space="preserve">5.5 Institucionální nástroje pro naplňování výzkumné strategie s důrazem na podporu kvalitního </w:t>
            </w:r>
            <w:r>
              <w:rPr>
                <w:b/>
              </w:rPr>
              <w:t>VaVaI</w:t>
            </w:r>
            <w:r w:rsidRPr="00375A49">
              <w:rPr>
                <w:b/>
              </w:rPr>
              <w:t xml:space="preserve"> a inovativního prostředí</w:t>
            </w:r>
          </w:p>
          <w:p w14:paraId="43F144AA" w14:textId="5C99EE5A" w:rsidR="00BB738F" w:rsidRPr="00900713" w:rsidRDefault="00900713" w:rsidP="00BB738F">
            <w:pPr>
              <w:jc w:val="both"/>
              <w:rPr>
                <w:i/>
              </w:rPr>
            </w:pPr>
            <w:r w:rsidRPr="00900713">
              <w:rPr>
                <w:color w:val="808080" w:themeColor="background1" w:themeShade="80"/>
              </w:rPr>
              <w:t>Vysoká škola popíše své institucionální a strategické nástroje (např. nástroje strategického řízení, nástroje vzniklé za účelem podpory realizace výzkumných cílů, právní a organizační normy ve vazbě na podporu VaVaI atd.), které jsou určeny pro naplňování výzkumné strategie s důrazem na podporu kvalitního VaVaI a inovativního prostředí.</w:t>
            </w:r>
          </w:p>
        </w:tc>
      </w:tr>
    </w:tbl>
    <w:p w14:paraId="1A829409" w14:textId="77777777" w:rsidR="00D862D3" w:rsidRPr="005973EB" w:rsidRDefault="00D862D3" w:rsidP="00D862D3">
      <w:pPr>
        <w:jc w:val="both"/>
        <w:rPr>
          <w:rFonts w:cstheme="minorHAnsi"/>
          <w:b/>
          <w:sz w:val="20"/>
          <w:szCs w:val="20"/>
          <w:lang w:val="cs-CZ"/>
        </w:rPr>
      </w:pPr>
    </w:p>
    <w:tbl>
      <w:tblPr>
        <w:tblStyle w:val="Mkatabulky"/>
        <w:tblW w:w="0" w:type="auto"/>
        <w:tblLook w:val="04A0" w:firstRow="1" w:lastRow="0" w:firstColumn="1" w:lastColumn="0" w:noHBand="0" w:noVBand="1"/>
      </w:tblPr>
      <w:tblGrid>
        <w:gridCol w:w="9209"/>
      </w:tblGrid>
      <w:tr w:rsidR="00D862D3" w14:paraId="38BA2321" w14:textId="77777777" w:rsidTr="00892563">
        <w:tc>
          <w:tcPr>
            <w:tcW w:w="9209" w:type="dxa"/>
          </w:tcPr>
          <w:p w14:paraId="1E75E607" w14:textId="77777777" w:rsidR="00D862D3" w:rsidRDefault="00D862D3" w:rsidP="00892563">
            <w:pPr>
              <w:jc w:val="both"/>
              <w:rPr>
                <w:rFonts w:cstheme="minorHAnsi"/>
                <w:b/>
              </w:rPr>
            </w:pPr>
            <w:r>
              <w:rPr>
                <w:rFonts w:cstheme="minorHAnsi"/>
                <w:b/>
              </w:rPr>
              <w:t>S</w:t>
            </w:r>
            <w:r w:rsidRPr="005973EB">
              <w:rPr>
                <w:rFonts w:cstheme="minorHAnsi"/>
                <w:b/>
              </w:rPr>
              <w:t>ebehodnocení:</w:t>
            </w:r>
          </w:p>
          <w:p w14:paraId="2C065C55" w14:textId="77777777" w:rsidR="00D862D3" w:rsidRDefault="00D862D3" w:rsidP="00892563">
            <w:pPr>
              <w:jc w:val="both"/>
              <w:rPr>
                <w:rFonts w:cstheme="minorHAnsi"/>
                <w:b/>
              </w:rPr>
            </w:pPr>
          </w:p>
          <w:p w14:paraId="0B10EECA" w14:textId="77777777" w:rsidR="00D862D3" w:rsidRDefault="00D862D3" w:rsidP="00892563">
            <w:pPr>
              <w:jc w:val="both"/>
              <w:rPr>
                <w:rFonts w:cstheme="minorHAnsi"/>
                <w:b/>
              </w:rPr>
            </w:pPr>
          </w:p>
          <w:p w14:paraId="23A580EB" w14:textId="77777777" w:rsidR="00D862D3" w:rsidRDefault="00D862D3" w:rsidP="00892563">
            <w:pPr>
              <w:jc w:val="both"/>
              <w:rPr>
                <w:rFonts w:cstheme="minorHAnsi"/>
                <w:b/>
              </w:rPr>
            </w:pPr>
          </w:p>
          <w:p w14:paraId="1F4F806E" w14:textId="77777777" w:rsidR="00D862D3" w:rsidRDefault="00D862D3" w:rsidP="00892563">
            <w:pPr>
              <w:jc w:val="both"/>
              <w:rPr>
                <w:rFonts w:cstheme="minorHAnsi"/>
                <w:b/>
              </w:rPr>
            </w:pPr>
          </w:p>
          <w:p w14:paraId="47FEB342" w14:textId="77777777" w:rsidR="00D862D3" w:rsidRDefault="00D862D3" w:rsidP="00892563">
            <w:pPr>
              <w:jc w:val="both"/>
              <w:rPr>
                <w:rFonts w:cstheme="minorHAnsi"/>
                <w:b/>
              </w:rPr>
            </w:pPr>
          </w:p>
          <w:p w14:paraId="112FC6C4" w14:textId="77777777" w:rsidR="00D862D3" w:rsidRPr="005973EB" w:rsidRDefault="00D862D3" w:rsidP="00892563">
            <w:pPr>
              <w:jc w:val="both"/>
              <w:rPr>
                <w:rFonts w:cstheme="minorHAnsi"/>
                <w:b/>
              </w:rPr>
            </w:pPr>
          </w:p>
          <w:p w14:paraId="70E9143C" w14:textId="77777777" w:rsidR="00D862D3" w:rsidRDefault="00D862D3" w:rsidP="00892563">
            <w:pPr>
              <w:jc w:val="both"/>
              <w:rPr>
                <w:rFonts w:cstheme="minorHAnsi"/>
                <w:b/>
              </w:rPr>
            </w:pPr>
          </w:p>
        </w:tc>
      </w:tr>
    </w:tbl>
    <w:p w14:paraId="57E28107" w14:textId="77777777" w:rsidR="00D862D3" w:rsidRDefault="00D862D3" w:rsidP="00D862D3">
      <w:pPr>
        <w:rPr>
          <w:rFonts w:cstheme="minorHAnsi"/>
          <w:b/>
          <w:lang w:val="cs-CZ"/>
        </w:rPr>
      </w:pPr>
    </w:p>
    <w:p w14:paraId="277CD3CB" w14:textId="77777777" w:rsidR="00D862D3" w:rsidRPr="0097716B" w:rsidRDefault="00D862D3" w:rsidP="00D862D3">
      <w:pPr>
        <w:jc w:val="both"/>
        <w:rPr>
          <w:rFonts w:cstheme="minorHAnsi"/>
          <w:b/>
          <w:sz w:val="22"/>
          <w:szCs w:val="22"/>
          <w:lang w:val="cs-CZ"/>
        </w:rPr>
      </w:pPr>
      <w:r w:rsidRPr="0097716B">
        <w:rPr>
          <w:rFonts w:cstheme="minorHAnsi"/>
          <w:b/>
          <w:sz w:val="22"/>
          <w:szCs w:val="22"/>
          <w:lang w:val="cs-CZ"/>
        </w:rPr>
        <w:t>Odkazy v HTML na podpůrné dokumenty:</w:t>
      </w:r>
    </w:p>
    <w:p w14:paraId="08507E23" w14:textId="77777777" w:rsidR="00BB738F" w:rsidRPr="00121F9B" w:rsidRDefault="00BB738F" w:rsidP="00BB738F">
      <w:pPr>
        <w:jc w:val="both"/>
        <w:rPr>
          <w:rFonts w:cstheme="minorHAnsi"/>
          <w:b/>
          <w:sz w:val="20"/>
          <w:szCs w:val="20"/>
          <w:lang w:val="cs-CZ"/>
        </w:rPr>
      </w:pPr>
    </w:p>
    <w:p w14:paraId="771D3245" w14:textId="77777777" w:rsidR="00BB738F" w:rsidRPr="00375A49" w:rsidRDefault="00BB738F" w:rsidP="00BB738F">
      <w:pPr>
        <w:jc w:val="both"/>
        <w:rPr>
          <w:i/>
          <w:lang w:val="cs-CZ"/>
        </w:rPr>
      </w:pPr>
    </w:p>
    <w:p w14:paraId="361E6818" w14:textId="77777777" w:rsidR="00BB738F" w:rsidRPr="00375A49" w:rsidRDefault="00BB738F" w:rsidP="00BB738F">
      <w:pPr>
        <w:jc w:val="both"/>
        <w:rPr>
          <w:rFonts w:cstheme="minorHAnsi"/>
          <w:b/>
          <w:lang w:val="cs-CZ"/>
        </w:rPr>
      </w:pPr>
    </w:p>
    <w:p w14:paraId="478C3144" w14:textId="77777777" w:rsidR="00BB738F" w:rsidRDefault="00BB738F" w:rsidP="00BB738F">
      <w:pPr>
        <w:widowControl w:val="0"/>
        <w:autoSpaceDE w:val="0"/>
        <w:autoSpaceDN w:val="0"/>
        <w:adjustRightInd w:val="0"/>
        <w:spacing w:line="240" w:lineRule="atLeast"/>
        <w:jc w:val="both"/>
        <w:rPr>
          <w:rFonts w:cstheme="minorHAnsi"/>
          <w:b/>
          <w:lang w:val="cs-CZ"/>
        </w:rPr>
      </w:pPr>
    </w:p>
    <w:p w14:paraId="59246B5C" w14:textId="77777777" w:rsidR="00BB738F" w:rsidRPr="00121F9B" w:rsidRDefault="00BB738F" w:rsidP="00BB738F">
      <w:pPr>
        <w:jc w:val="both"/>
        <w:rPr>
          <w:rFonts w:cstheme="minorHAnsi"/>
          <w:b/>
          <w:sz w:val="20"/>
          <w:szCs w:val="20"/>
          <w:lang w:val="cs-CZ"/>
        </w:rPr>
      </w:pPr>
    </w:p>
    <w:p w14:paraId="6D444C41" w14:textId="77777777" w:rsidR="00121F9B" w:rsidRDefault="00121F9B"/>
    <w:p w14:paraId="6A8D4ADF" w14:textId="77777777" w:rsidR="003D33CE" w:rsidRDefault="003D33CE">
      <w:pPr>
        <w:rPr>
          <w:rFonts w:cstheme="minorHAnsi"/>
          <w:b/>
          <w:lang w:val="cs-CZ"/>
        </w:rPr>
      </w:pPr>
    </w:p>
    <w:p w14:paraId="497E328A" w14:textId="77777777" w:rsidR="003D33CE" w:rsidRDefault="003D33CE">
      <w:pPr>
        <w:rPr>
          <w:rFonts w:cstheme="minorHAnsi"/>
          <w:b/>
          <w:lang w:val="cs-CZ"/>
        </w:rPr>
      </w:pPr>
    </w:p>
    <w:p w14:paraId="0965B6B2" w14:textId="77777777" w:rsidR="003D33CE" w:rsidRDefault="003D33CE">
      <w:pPr>
        <w:rPr>
          <w:rFonts w:cstheme="minorHAnsi"/>
          <w:b/>
          <w:lang w:val="cs-CZ"/>
        </w:rPr>
      </w:pPr>
    </w:p>
    <w:p w14:paraId="1E1E86FC" w14:textId="77777777" w:rsidR="003D33CE" w:rsidRDefault="003D33CE">
      <w:pPr>
        <w:rPr>
          <w:rFonts w:cstheme="minorHAnsi"/>
          <w:b/>
          <w:lang w:val="cs-CZ"/>
        </w:rPr>
      </w:pPr>
    </w:p>
    <w:p w14:paraId="142D2D7E" w14:textId="77777777" w:rsidR="003D33CE" w:rsidRDefault="003D33CE">
      <w:pPr>
        <w:rPr>
          <w:rFonts w:cstheme="minorHAnsi"/>
          <w:b/>
          <w:lang w:val="cs-CZ"/>
        </w:rPr>
      </w:pPr>
    </w:p>
    <w:p w14:paraId="2436FA3D" w14:textId="77777777" w:rsidR="003D33CE" w:rsidRDefault="003D33CE">
      <w:pPr>
        <w:rPr>
          <w:rFonts w:cstheme="minorHAnsi"/>
          <w:b/>
          <w:lang w:val="cs-CZ"/>
        </w:rPr>
      </w:pPr>
    </w:p>
    <w:p w14:paraId="6C2ACA3A" w14:textId="77777777" w:rsidR="003D33CE" w:rsidRDefault="003D33CE">
      <w:pPr>
        <w:rPr>
          <w:rFonts w:cstheme="minorHAnsi"/>
          <w:b/>
          <w:lang w:val="cs-CZ"/>
        </w:rPr>
      </w:pPr>
    </w:p>
    <w:p w14:paraId="409D0BA1" w14:textId="77777777" w:rsidR="003D33CE" w:rsidRDefault="003D33CE">
      <w:pPr>
        <w:rPr>
          <w:rFonts w:cstheme="minorHAnsi"/>
          <w:b/>
          <w:lang w:val="cs-CZ"/>
        </w:rPr>
      </w:pPr>
    </w:p>
    <w:p w14:paraId="63D4035E" w14:textId="77777777" w:rsidR="003D33CE" w:rsidRDefault="003D33CE">
      <w:pPr>
        <w:rPr>
          <w:rFonts w:cstheme="minorHAnsi"/>
          <w:b/>
          <w:lang w:val="cs-CZ"/>
        </w:rPr>
      </w:pPr>
    </w:p>
    <w:p w14:paraId="57920BDB" w14:textId="77777777" w:rsidR="003D33CE" w:rsidRDefault="003D33CE">
      <w:pPr>
        <w:rPr>
          <w:rFonts w:cstheme="minorHAnsi"/>
          <w:b/>
          <w:lang w:val="cs-CZ"/>
        </w:rPr>
      </w:pPr>
    </w:p>
    <w:p w14:paraId="18DDC12E" w14:textId="77777777" w:rsidR="003D33CE" w:rsidRDefault="003D33CE">
      <w:pPr>
        <w:rPr>
          <w:rFonts w:cstheme="minorHAnsi"/>
          <w:b/>
          <w:lang w:val="cs-CZ"/>
        </w:rPr>
      </w:pPr>
    </w:p>
    <w:p w14:paraId="0E48B56A" w14:textId="77777777" w:rsidR="003D33CE" w:rsidRDefault="003D33CE">
      <w:pPr>
        <w:rPr>
          <w:rFonts w:cstheme="minorHAnsi"/>
          <w:b/>
          <w:lang w:val="cs-CZ"/>
        </w:rPr>
      </w:pPr>
    </w:p>
    <w:p w14:paraId="166463B9" w14:textId="77777777" w:rsidR="003D33CE" w:rsidRDefault="003D33CE">
      <w:pPr>
        <w:rPr>
          <w:rFonts w:cstheme="minorHAnsi"/>
          <w:b/>
          <w:lang w:val="cs-CZ"/>
        </w:rPr>
      </w:pPr>
    </w:p>
    <w:p w14:paraId="24527D3C" w14:textId="77777777" w:rsidR="003D33CE" w:rsidRDefault="003D33CE">
      <w:pPr>
        <w:rPr>
          <w:rFonts w:cstheme="minorHAnsi"/>
          <w:b/>
          <w:lang w:val="cs-CZ"/>
        </w:rPr>
      </w:pPr>
    </w:p>
    <w:p w14:paraId="0B9B3626" w14:textId="77777777" w:rsidR="003D33CE" w:rsidRDefault="003D33CE">
      <w:pPr>
        <w:rPr>
          <w:rFonts w:cstheme="minorHAnsi"/>
          <w:b/>
          <w:lang w:val="cs-CZ"/>
        </w:rPr>
      </w:pPr>
    </w:p>
    <w:p w14:paraId="5C7910FE" w14:textId="77777777" w:rsidR="003D33CE" w:rsidRDefault="003D33CE">
      <w:pPr>
        <w:rPr>
          <w:rFonts w:cstheme="minorHAnsi"/>
          <w:b/>
          <w:lang w:val="cs-CZ"/>
        </w:rPr>
      </w:pPr>
    </w:p>
    <w:p w14:paraId="2B8DBB2A" w14:textId="77777777" w:rsidR="003D33CE" w:rsidRDefault="003D33CE">
      <w:pPr>
        <w:rPr>
          <w:rFonts w:cstheme="minorHAnsi"/>
          <w:b/>
          <w:lang w:val="cs-CZ"/>
        </w:rPr>
      </w:pPr>
    </w:p>
    <w:p w14:paraId="7751FA65" w14:textId="77777777" w:rsidR="003D33CE" w:rsidRDefault="003D33CE">
      <w:pPr>
        <w:rPr>
          <w:rFonts w:cstheme="minorHAnsi"/>
          <w:b/>
          <w:lang w:val="cs-CZ"/>
        </w:rPr>
      </w:pPr>
    </w:p>
    <w:p w14:paraId="1EFFE11D" w14:textId="77777777" w:rsidR="003D33CE" w:rsidRDefault="003D33CE">
      <w:pPr>
        <w:rPr>
          <w:rFonts w:cstheme="minorHAnsi"/>
          <w:b/>
          <w:lang w:val="cs-CZ"/>
        </w:rPr>
      </w:pPr>
    </w:p>
    <w:p w14:paraId="596BE914" w14:textId="77777777" w:rsidR="003D33CE" w:rsidRDefault="003D33CE">
      <w:pPr>
        <w:rPr>
          <w:rFonts w:cstheme="minorHAnsi"/>
          <w:b/>
          <w:lang w:val="cs-CZ"/>
        </w:rPr>
      </w:pPr>
    </w:p>
    <w:p w14:paraId="1BD9926A" w14:textId="77777777" w:rsidR="003D33CE" w:rsidRDefault="003D33CE">
      <w:pPr>
        <w:rPr>
          <w:rFonts w:cstheme="minorHAnsi"/>
          <w:b/>
          <w:lang w:val="cs-CZ"/>
        </w:rPr>
      </w:pPr>
    </w:p>
    <w:p w14:paraId="04D2A070" w14:textId="77777777" w:rsidR="003D33CE" w:rsidRDefault="003D33CE">
      <w:pPr>
        <w:rPr>
          <w:rFonts w:cstheme="minorHAnsi"/>
          <w:b/>
          <w:lang w:val="cs-CZ"/>
        </w:rPr>
      </w:pPr>
    </w:p>
    <w:p w14:paraId="379445FC" w14:textId="57EEA8D5" w:rsidR="003D33CE" w:rsidRPr="00176A2C" w:rsidRDefault="003D33CE" w:rsidP="003D33CE">
      <w:pPr>
        <w:pStyle w:val="Nadpis3"/>
        <w:rPr>
          <w:lang w:val="cs-CZ"/>
        </w:rPr>
      </w:pPr>
      <w:r>
        <w:rPr>
          <w:lang w:val="cs-CZ"/>
        </w:rPr>
        <w:t>SOUHRNNÝ</w:t>
      </w:r>
      <w:r>
        <w:t xml:space="preserve"> </w:t>
      </w:r>
      <w:r w:rsidRPr="00176A2C">
        <w:rPr>
          <w:lang w:val="cs-CZ"/>
        </w:rPr>
        <w:t>SEZNAM P</w:t>
      </w:r>
      <w:r w:rsidR="00A65208">
        <w:rPr>
          <w:lang w:val="cs-CZ"/>
        </w:rPr>
        <w:t>ODPŮRNÝCH DOKUMENTŮ V</w:t>
      </w:r>
      <w:r>
        <w:rPr>
          <w:lang w:val="cs-CZ"/>
        </w:rPr>
        <w:t xml:space="preserve"> M5</w:t>
      </w:r>
    </w:p>
    <w:p w14:paraId="4E4DA146" w14:textId="77777777" w:rsidR="003D33CE" w:rsidRPr="00925E05" w:rsidRDefault="003D33CE" w:rsidP="003D33CE">
      <w:pPr>
        <w:rPr>
          <w:lang w:val="cs-CZ"/>
        </w:rPr>
      </w:pPr>
    </w:p>
    <w:tbl>
      <w:tblPr>
        <w:tblStyle w:val="Mkatabulky"/>
        <w:tblW w:w="9209" w:type="dxa"/>
        <w:tblLook w:val="04A0" w:firstRow="1" w:lastRow="0" w:firstColumn="1" w:lastColumn="0" w:noHBand="0" w:noVBand="1"/>
      </w:tblPr>
      <w:tblGrid>
        <w:gridCol w:w="5098"/>
        <w:gridCol w:w="1560"/>
        <w:gridCol w:w="2551"/>
      </w:tblGrid>
      <w:tr w:rsidR="003D33CE" w:rsidRPr="009811CB" w14:paraId="0CD648F4" w14:textId="77777777" w:rsidTr="0074768B">
        <w:tc>
          <w:tcPr>
            <w:tcW w:w="5098" w:type="dxa"/>
            <w:shd w:val="clear" w:color="auto" w:fill="F2F2F2" w:themeFill="background1" w:themeFillShade="F2"/>
          </w:tcPr>
          <w:p w14:paraId="1330D446" w14:textId="77777777" w:rsidR="003D33CE" w:rsidRPr="009811CB" w:rsidRDefault="003D33CE" w:rsidP="0074768B">
            <w:pPr>
              <w:spacing w:line="240" w:lineRule="atLeast"/>
              <w:jc w:val="center"/>
              <w:rPr>
                <w:rFonts w:cstheme="minorHAnsi"/>
                <w:b/>
              </w:rPr>
            </w:pPr>
            <w:r w:rsidRPr="009811CB">
              <w:rPr>
                <w:rFonts w:cstheme="minorHAnsi"/>
                <w:b/>
              </w:rPr>
              <w:t>Název dokumentu</w:t>
            </w:r>
          </w:p>
        </w:tc>
        <w:tc>
          <w:tcPr>
            <w:tcW w:w="1560" w:type="dxa"/>
            <w:shd w:val="clear" w:color="auto" w:fill="F2F2F2" w:themeFill="background1" w:themeFillShade="F2"/>
          </w:tcPr>
          <w:p w14:paraId="534C2CBD" w14:textId="77777777" w:rsidR="003D33CE" w:rsidRPr="009811CB" w:rsidRDefault="003D33CE" w:rsidP="0074768B">
            <w:pPr>
              <w:spacing w:line="240" w:lineRule="atLeast"/>
              <w:jc w:val="center"/>
              <w:rPr>
                <w:rFonts w:cstheme="minorHAnsi"/>
                <w:b/>
              </w:rPr>
            </w:pPr>
            <w:r>
              <w:rPr>
                <w:rFonts w:cstheme="minorHAnsi"/>
                <w:b/>
              </w:rPr>
              <w:t>Č. kritéria</w:t>
            </w:r>
          </w:p>
        </w:tc>
        <w:tc>
          <w:tcPr>
            <w:tcW w:w="2551" w:type="dxa"/>
            <w:shd w:val="clear" w:color="auto" w:fill="F2F2F2" w:themeFill="background1" w:themeFillShade="F2"/>
          </w:tcPr>
          <w:p w14:paraId="2C5D280D" w14:textId="77777777" w:rsidR="003D33CE" w:rsidRPr="009811CB" w:rsidRDefault="003D33CE" w:rsidP="0074768B">
            <w:pPr>
              <w:spacing w:line="240" w:lineRule="atLeast"/>
              <w:jc w:val="center"/>
              <w:rPr>
                <w:rFonts w:cstheme="minorHAnsi"/>
                <w:b/>
              </w:rPr>
            </w:pPr>
            <w:r w:rsidRPr="009811CB">
              <w:rPr>
                <w:rFonts w:cstheme="minorHAnsi"/>
                <w:b/>
              </w:rPr>
              <w:t>Umístění (odkaz</w:t>
            </w:r>
            <w:r>
              <w:t xml:space="preserve"> </w:t>
            </w:r>
            <w:r w:rsidRPr="00BC45D1">
              <w:rPr>
                <w:rFonts w:cstheme="minorHAnsi"/>
                <w:b/>
              </w:rPr>
              <w:t>v HTML</w:t>
            </w:r>
            <w:r w:rsidRPr="009811CB">
              <w:rPr>
                <w:rFonts w:cstheme="minorHAnsi"/>
                <w:b/>
              </w:rPr>
              <w:t>)</w:t>
            </w:r>
          </w:p>
        </w:tc>
      </w:tr>
      <w:tr w:rsidR="003D33CE" w14:paraId="2DF2E211" w14:textId="77777777" w:rsidTr="0074768B">
        <w:tc>
          <w:tcPr>
            <w:tcW w:w="5098" w:type="dxa"/>
          </w:tcPr>
          <w:p w14:paraId="13B95E08" w14:textId="77777777" w:rsidR="003D33CE" w:rsidRDefault="003D33CE" w:rsidP="0074768B">
            <w:pPr>
              <w:spacing w:line="240" w:lineRule="atLeast"/>
              <w:jc w:val="both"/>
              <w:rPr>
                <w:rFonts w:cstheme="minorHAnsi"/>
              </w:rPr>
            </w:pPr>
          </w:p>
        </w:tc>
        <w:tc>
          <w:tcPr>
            <w:tcW w:w="1560" w:type="dxa"/>
          </w:tcPr>
          <w:p w14:paraId="495924E2" w14:textId="77777777" w:rsidR="003D33CE" w:rsidRDefault="003D33CE" w:rsidP="0074768B">
            <w:pPr>
              <w:spacing w:line="240" w:lineRule="atLeast"/>
              <w:jc w:val="both"/>
              <w:rPr>
                <w:rFonts w:cstheme="minorHAnsi"/>
              </w:rPr>
            </w:pPr>
          </w:p>
        </w:tc>
        <w:tc>
          <w:tcPr>
            <w:tcW w:w="2551" w:type="dxa"/>
          </w:tcPr>
          <w:p w14:paraId="7BE8D2FB" w14:textId="77777777" w:rsidR="003D33CE" w:rsidRDefault="003D33CE" w:rsidP="0074768B">
            <w:pPr>
              <w:spacing w:line="240" w:lineRule="atLeast"/>
              <w:jc w:val="both"/>
              <w:rPr>
                <w:rFonts w:cstheme="minorHAnsi"/>
              </w:rPr>
            </w:pPr>
          </w:p>
        </w:tc>
      </w:tr>
      <w:tr w:rsidR="003D33CE" w14:paraId="6E005052" w14:textId="77777777" w:rsidTr="0074768B">
        <w:tc>
          <w:tcPr>
            <w:tcW w:w="5098" w:type="dxa"/>
          </w:tcPr>
          <w:p w14:paraId="59D77BD1" w14:textId="77777777" w:rsidR="003D33CE" w:rsidRDefault="003D33CE" w:rsidP="0074768B">
            <w:pPr>
              <w:spacing w:line="240" w:lineRule="atLeast"/>
              <w:jc w:val="both"/>
              <w:rPr>
                <w:rFonts w:cstheme="minorHAnsi"/>
              </w:rPr>
            </w:pPr>
          </w:p>
        </w:tc>
        <w:tc>
          <w:tcPr>
            <w:tcW w:w="1560" w:type="dxa"/>
          </w:tcPr>
          <w:p w14:paraId="3AB5F25E" w14:textId="77777777" w:rsidR="003D33CE" w:rsidRDefault="003D33CE" w:rsidP="0074768B">
            <w:pPr>
              <w:spacing w:line="240" w:lineRule="atLeast"/>
              <w:jc w:val="both"/>
              <w:rPr>
                <w:rFonts w:cstheme="minorHAnsi"/>
              </w:rPr>
            </w:pPr>
          </w:p>
        </w:tc>
        <w:tc>
          <w:tcPr>
            <w:tcW w:w="2551" w:type="dxa"/>
          </w:tcPr>
          <w:p w14:paraId="711FDA22" w14:textId="77777777" w:rsidR="003D33CE" w:rsidRDefault="003D33CE" w:rsidP="0074768B">
            <w:pPr>
              <w:spacing w:line="240" w:lineRule="atLeast"/>
              <w:jc w:val="both"/>
              <w:rPr>
                <w:rFonts w:cstheme="minorHAnsi"/>
              </w:rPr>
            </w:pPr>
          </w:p>
        </w:tc>
      </w:tr>
      <w:tr w:rsidR="003D33CE" w14:paraId="61F78014" w14:textId="77777777" w:rsidTr="0074768B">
        <w:tc>
          <w:tcPr>
            <w:tcW w:w="5098" w:type="dxa"/>
          </w:tcPr>
          <w:p w14:paraId="1D16514D" w14:textId="77777777" w:rsidR="003D33CE" w:rsidRDefault="003D33CE" w:rsidP="0074768B">
            <w:pPr>
              <w:spacing w:line="240" w:lineRule="atLeast"/>
              <w:jc w:val="both"/>
              <w:rPr>
                <w:rFonts w:cstheme="minorHAnsi"/>
              </w:rPr>
            </w:pPr>
          </w:p>
        </w:tc>
        <w:tc>
          <w:tcPr>
            <w:tcW w:w="1560" w:type="dxa"/>
          </w:tcPr>
          <w:p w14:paraId="7C39C605" w14:textId="77777777" w:rsidR="003D33CE" w:rsidRDefault="003D33CE" w:rsidP="0074768B">
            <w:pPr>
              <w:spacing w:line="240" w:lineRule="atLeast"/>
              <w:jc w:val="both"/>
              <w:rPr>
                <w:rFonts w:cstheme="minorHAnsi"/>
              </w:rPr>
            </w:pPr>
          </w:p>
        </w:tc>
        <w:tc>
          <w:tcPr>
            <w:tcW w:w="2551" w:type="dxa"/>
          </w:tcPr>
          <w:p w14:paraId="4F6E9FDB" w14:textId="77777777" w:rsidR="003D33CE" w:rsidRDefault="003D33CE" w:rsidP="0074768B">
            <w:pPr>
              <w:spacing w:line="240" w:lineRule="atLeast"/>
              <w:jc w:val="both"/>
              <w:rPr>
                <w:rFonts w:cstheme="minorHAnsi"/>
              </w:rPr>
            </w:pPr>
          </w:p>
        </w:tc>
      </w:tr>
      <w:tr w:rsidR="003D33CE" w14:paraId="54C9E500" w14:textId="77777777" w:rsidTr="0074768B">
        <w:tc>
          <w:tcPr>
            <w:tcW w:w="5098" w:type="dxa"/>
          </w:tcPr>
          <w:p w14:paraId="6EF97234" w14:textId="77777777" w:rsidR="003D33CE" w:rsidRDefault="003D33CE" w:rsidP="0074768B">
            <w:pPr>
              <w:spacing w:line="240" w:lineRule="atLeast"/>
              <w:jc w:val="both"/>
              <w:rPr>
                <w:rFonts w:cstheme="minorHAnsi"/>
              </w:rPr>
            </w:pPr>
          </w:p>
        </w:tc>
        <w:tc>
          <w:tcPr>
            <w:tcW w:w="1560" w:type="dxa"/>
          </w:tcPr>
          <w:p w14:paraId="729F2727" w14:textId="77777777" w:rsidR="003D33CE" w:rsidRDefault="003D33CE" w:rsidP="0074768B">
            <w:pPr>
              <w:spacing w:line="240" w:lineRule="atLeast"/>
              <w:jc w:val="both"/>
              <w:rPr>
                <w:rFonts w:cstheme="minorHAnsi"/>
              </w:rPr>
            </w:pPr>
          </w:p>
        </w:tc>
        <w:tc>
          <w:tcPr>
            <w:tcW w:w="2551" w:type="dxa"/>
          </w:tcPr>
          <w:p w14:paraId="5EAE0385" w14:textId="77777777" w:rsidR="003D33CE" w:rsidRDefault="003D33CE" w:rsidP="0074768B">
            <w:pPr>
              <w:spacing w:line="240" w:lineRule="atLeast"/>
              <w:jc w:val="both"/>
              <w:rPr>
                <w:rFonts w:cstheme="minorHAnsi"/>
              </w:rPr>
            </w:pPr>
          </w:p>
        </w:tc>
      </w:tr>
    </w:tbl>
    <w:p w14:paraId="6063091D" w14:textId="77777777" w:rsidR="003D33CE" w:rsidRDefault="003D33CE" w:rsidP="003D33CE">
      <w:pPr>
        <w:rPr>
          <w:b/>
          <w:lang w:val="cs-CZ"/>
        </w:rPr>
      </w:pPr>
    </w:p>
    <w:p w14:paraId="55BEADB6" w14:textId="77777777" w:rsidR="00BB738F" w:rsidRDefault="00BB738F">
      <w:pPr>
        <w:rPr>
          <w:rFonts w:cstheme="minorHAnsi"/>
          <w:b/>
          <w:lang w:val="cs-CZ"/>
        </w:rPr>
      </w:pPr>
      <w:r>
        <w:rPr>
          <w:rFonts w:cstheme="minorHAnsi"/>
          <w:b/>
          <w:lang w:val="cs-CZ"/>
        </w:rPr>
        <w:br w:type="page"/>
      </w:r>
    </w:p>
    <w:p w14:paraId="2B2CE29F" w14:textId="19E6A03D" w:rsidR="006A715C" w:rsidRDefault="003D33CE" w:rsidP="00CA1F26">
      <w:pPr>
        <w:pStyle w:val="Nadpis3"/>
        <w:rPr>
          <w:lang w:val="cs-CZ"/>
        </w:rPr>
      </w:pPr>
      <w:bookmarkStart w:id="27" w:name="_Toc13829038"/>
      <w:r>
        <w:rPr>
          <w:lang w:val="cs-CZ"/>
        </w:rPr>
        <w:lastRenderedPageBreak/>
        <w:t xml:space="preserve">POVINNÉ </w:t>
      </w:r>
      <w:r w:rsidR="00121F9B" w:rsidRPr="006A715C">
        <w:rPr>
          <w:lang w:val="cs-CZ"/>
        </w:rPr>
        <w:t>PŘÍLOHY</w:t>
      </w:r>
      <w:bookmarkEnd w:id="27"/>
      <w:r w:rsidR="0024472D">
        <w:rPr>
          <w:lang w:val="cs-CZ"/>
        </w:rPr>
        <w:t xml:space="preserve"> M3-M5</w:t>
      </w:r>
    </w:p>
    <w:p w14:paraId="1722C9DA" w14:textId="77777777" w:rsidR="003D33CE" w:rsidRPr="003D33CE" w:rsidRDefault="003D33CE" w:rsidP="003D33CE">
      <w:pPr>
        <w:rPr>
          <w:lang w:val="cs-CZ"/>
        </w:rPr>
      </w:pPr>
    </w:p>
    <w:p w14:paraId="57C90AE6" w14:textId="77777777" w:rsidR="006A715C" w:rsidRPr="003D33CE" w:rsidRDefault="006A715C" w:rsidP="000E23E0">
      <w:pPr>
        <w:pStyle w:val="Odstavecseseznamem"/>
        <w:numPr>
          <w:ilvl w:val="0"/>
          <w:numId w:val="2"/>
        </w:numPr>
        <w:rPr>
          <w:rFonts w:cstheme="minorHAnsi"/>
          <w:b/>
          <w:sz w:val="22"/>
          <w:szCs w:val="22"/>
          <w:lang w:val="cs-CZ"/>
        </w:rPr>
      </w:pPr>
      <w:r w:rsidRPr="003D33CE">
        <w:rPr>
          <w:rFonts w:cstheme="minorHAnsi"/>
          <w:b/>
          <w:sz w:val="22"/>
          <w:szCs w:val="22"/>
          <w:lang w:val="cs-CZ"/>
        </w:rPr>
        <w:t>SWOT ANALÝZA</w:t>
      </w:r>
    </w:p>
    <w:p w14:paraId="79428281" w14:textId="4EB44AD3" w:rsidR="00FA683C" w:rsidRPr="00501E77" w:rsidRDefault="00C636F2" w:rsidP="000E23E0">
      <w:pPr>
        <w:pStyle w:val="Odstavecseseznamem"/>
        <w:numPr>
          <w:ilvl w:val="0"/>
          <w:numId w:val="2"/>
        </w:numPr>
        <w:rPr>
          <w:rFonts w:cstheme="minorHAnsi"/>
          <w:b/>
          <w:sz w:val="22"/>
          <w:szCs w:val="22"/>
          <w:lang w:val="cs-CZ"/>
        </w:rPr>
      </w:pPr>
      <w:r w:rsidRPr="00501E77">
        <w:rPr>
          <w:b/>
          <w:sz w:val="22"/>
          <w:szCs w:val="22"/>
        </w:rPr>
        <w:t>VÝSTUPY Z HODNOCENÍ VÝSLEDKŮ NA NÁRODNÍ ÚROVNI, KTERÉ JSOU K DISPOZICI.</w:t>
      </w:r>
      <w:r w:rsidRPr="00501E77">
        <w:t xml:space="preserve"> </w:t>
      </w:r>
      <w:r w:rsidR="00FA683C" w:rsidRPr="00501E77">
        <w:rPr>
          <w:rFonts w:cstheme="minorHAnsi"/>
          <w:b/>
          <w:sz w:val="22"/>
          <w:szCs w:val="22"/>
          <w:lang w:val="cs-CZ"/>
        </w:rPr>
        <w:t xml:space="preserve"> </w:t>
      </w:r>
    </w:p>
    <w:p w14:paraId="43C53C2B" w14:textId="77777777" w:rsidR="00BB738F" w:rsidRDefault="00BB738F" w:rsidP="00BB738F">
      <w:pPr>
        <w:jc w:val="both"/>
        <w:rPr>
          <w:b/>
          <w:lang w:val="cs-CZ"/>
        </w:rPr>
      </w:pPr>
      <w:bookmarkStart w:id="28" w:name="_GoBack"/>
      <w:bookmarkEnd w:id="28"/>
    </w:p>
    <w:p w14:paraId="651D0753" w14:textId="77777777" w:rsidR="006A715C" w:rsidRDefault="006A715C" w:rsidP="00BB738F">
      <w:pPr>
        <w:jc w:val="both"/>
        <w:rPr>
          <w:b/>
          <w:lang w:val="cs-CZ"/>
        </w:rPr>
      </w:pPr>
    </w:p>
    <w:p w14:paraId="6A4A052F" w14:textId="77777777" w:rsidR="00121F9B" w:rsidRPr="00375A49" w:rsidRDefault="00121F9B" w:rsidP="00121F9B">
      <w:pPr>
        <w:spacing w:line="240" w:lineRule="atLeast"/>
        <w:jc w:val="both"/>
        <w:rPr>
          <w:rFonts w:cstheme="minorHAnsi"/>
          <w:sz w:val="20"/>
          <w:szCs w:val="20"/>
          <w:lang w:val="cs-CZ"/>
        </w:rPr>
      </w:pPr>
    </w:p>
    <w:p w14:paraId="16AC9674" w14:textId="77777777" w:rsidR="00121F9B" w:rsidRDefault="00121F9B" w:rsidP="00121F9B">
      <w:pPr>
        <w:widowControl w:val="0"/>
        <w:autoSpaceDE w:val="0"/>
        <w:autoSpaceDN w:val="0"/>
        <w:adjustRightInd w:val="0"/>
        <w:spacing w:line="240" w:lineRule="atLeast"/>
        <w:contextualSpacing/>
        <w:jc w:val="both"/>
        <w:rPr>
          <w:rFonts w:cstheme="minorHAnsi"/>
          <w:b/>
          <w:lang w:val="cs-CZ"/>
        </w:rPr>
      </w:pPr>
    </w:p>
    <w:p w14:paraId="5ED4D3F1" w14:textId="77777777" w:rsidR="006A715C" w:rsidRDefault="006A715C" w:rsidP="006A715C">
      <w:pPr>
        <w:jc w:val="both"/>
        <w:rPr>
          <w:b/>
          <w:lang w:val="cs-CZ"/>
        </w:rPr>
      </w:pPr>
    </w:p>
    <w:p w14:paraId="6F134F11" w14:textId="4F3C730A" w:rsidR="00397EDB" w:rsidRDefault="00397EDB" w:rsidP="00652797">
      <w:pPr>
        <w:pStyle w:val="Nadpis3"/>
        <w:rPr>
          <w:b w:val="0"/>
          <w:lang w:val="cs-CZ"/>
        </w:rPr>
      </w:pPr>
    </w:p>
    <w:p w14:paraId="21C528F4" w14:textId="77777777" w:rsidR="00397EDB" w:rsidRPr="00397EDB" w:rsidRDefault="00397EDB" w:rsidP="00397EDB">
      <w:pPr>
        <w:rPr>
          <w:lang w:val="cs-CZ"/>
        </w:rPr>
      </w:pPr>
    </w:p>
    <w:p w14:paraId="398B283B" w14:textId="77777777" w:rsidR="00397EDB" w:rsidRPr="00397EDB" w:rsidRDefault="00397EDB" w:rsidP="00397EDB">
      <w:pPr>
        <w:rPr>
          <w:lang w:val="cs-CZ"/>
        </w:rPr>
      </w:pPr>
    </w:p>
    <w:p w14:paraId="6BE6B129" w14:textId="77777777" w:rsidR="00397EDB" w:rsidRPr="00397EDB" w:rsidRDefault="00397EDB" w:rsidP="00397EDB">
      <w:pPr>
        <w:rPr>
          <w:lang w:val="cs-CZ"/>
        </w:rPr>
      </w:pPr>
    </w:p>
    <w:p w14:paraId="5F62657C" w14:textId="77777777" w:rsidR="00397EDB" w:rsidRPr="00397EDB" w:rsidRDefault="00397EDB" w:rsidP="00397EDB">
      <w:pPr>
        <w:rPr>
          <w:lang w:val="cs-CZ"/>
        </w:rPr>
      </w:pPr>
    </w:p>
    <w:p w14:paraId="08F2FD43" w14:textId="77777777" w:rsidR="00397EDB" w:rsidRPr="00397EDB" w:rsidRDefault="00397EDB" w:rsidP="00397EDB">
      <w:pPr>
        <w:rPr>
          <w:lang w:val="cs-CZ"/>
        </w:rPr>
      </w:pPr>
    </w:p>
    <w:p w14:paraId="028140EB" w14:textId="77777777" w:rsidR="00397EDB" w:rsidRPr="00397EDB" w:rsidRDefault="00397EDB" w:rsidP="00397EDB">
      <w:pPr>
        <w:rPr>
          <w:lang w:val="cs-CZ"/>
        </w:rPr>
      </w:pPr>
    </w:p>
    <w:p w14:paraId="3CD00FB6" w14:textId="77777777" w:rsidR="00397EDB" w:rsidRPr="00397EDB" w:rsidRDefault="00397EDB" w:rsidP="00397EDB">
      <w:pPr>
        <w:rPr>
          <w:lang w:val="cs-CZ"/>
        </w:rPr>
      </w:pPr>
    </w:p>
    <w:p w14:paraId="7A6E5FEC" w14:textId="77777777" w:rsidR="00397EDB" w:rsidRPr="00397EDB" w:rsidRDefault="00397EDB" w:rsidP="00397EDB">
      <w:pPr>
        <w:rPr>
          <w:lang w:val="cs-CZ"/>
        </w:rPr>
      </w:pPr>
    </w:p>
    <w:p w14:paraId="23FAEFF0" w14:textId="77777777" w:rsidR="00397EDB" w:rsidRPr="00397EDB" w:rsidRDefault="00397EDB" w:rsidP="00397EDB">
      <w:pPr>
        <w:rPr>
          <w:lang w:val="cs-CZ"/>
        </w:rPr>
      </w:pPr>
    </w:p>
    <w:p w14:paraId="0C7C86E9" w14:textId="77777777" w:rsidR="00397EDB" w:rsidRPr="00397EDB" w:rsidRDefault="00397EDB" w:rsidP="00397EDB">
      <w:pPr>
        <w:rPr>
          <w:lang w:val="cs-CZ"/>
        </w:rPr>
      </w:pPr>
    </w:p>
    <w:p w14:paraId="448D8709" w14:textId="77777777" w:rsidR="00397EDB" w:rsidRPr="00397EDB" w:rsidRDefault="00397EDB" w:rsidP="00397EDB">
      <w:pPr>
        <w:rPr>
          <w:lang w:val="cs-CZ"/>
        </w:rPr>
      </w:pPr>
    </w:p>
    <w:p w14:paraId="1430C2DD" w14:textId="77777777" w:rsidR="00397EDB" w:rsidRPr="00397EDB" w:rsidRDefault="00397EDB" w:rsidP="00397EDB">
      <w:pPr>
        <w:rPr>
          <w:lang w:val="cs-CZ"/>
        </w:rPr>
      </w:pPr>
    </w:p>
    <w:p w14:paraId="606B3D18" w14:textId="77777777" w:rsidR="00397EDB" w:rsidRPr="00397EDB" w:rsidRDefault="00397EDB" w:rsidP="00397EDB">
      <w:pPr>
        <w:rPr>
          <w:lang w:val="cs-CZ"/>
        </w:rPr>
      </w:pPr>
    </w:p>
    <w:p w14:paraId="482621E0" w14:textId="77777777" w:rsidR="00397EDB" w:rsidRPr="00397EDB" w:rsidRDefault="00397EDB" w:rsidP="00397EDB">
      <w:pPr>
        <w:rPr>
          <w:lang w:val="cs-CZ"/>
        </w:rPr>
      </w:pPr>
    </w:p>
    <w:p w14:paraId="4918638D" w14:textId="77777777" w:rsidR="00397EDB" w:rsidRPr="00397EDB" w:rsidRDefault="00397EDB" w:rsidP="00397EDB">
      <w:pPr>
        <w:rPr>
          <w:lang w:val="cs-CZ"/>
        </w:rPr>
      </w:pPr>
    </w:p>
    <w:p w14:paraId="432E29C3" w14:textId="77777777" w:rsidR="00397EDB" w:rsidRPr="00397EDB" w:rsidRDefault="00397EDB" w:rsidP="00397EDB">
      <w:pPr>
        <w:rPr>
          <w:lang w:val="cs-CZ"/>
        </w:rPr>
      </w:pPr>
    </w:p>
    <w:p w14:paraId="21D568F0" w14:textId="77777777" w:rsidR="00397EDB" w:rsidRPr="00397EDB" w:rsidRDefault="00397EDB" w:rsidP="00397EDB">
      <w:pPr>
        <w:rPr>
          <w:lang w:val="cs-CZ"/>
        </w:rPr>
      </w:pPr>
    </w:p>
    <w:p w14:paraId="6E5213CD" w14:textId="77777777" w:rsidR="00397EDB" w:rsidRPr="00397EDB" w:rsidRDefault="00397EDB" w:rsidP="00397EDB">
      <w:pPr>
        <w:rPr>
          <w:lang w:val="cs-CZ"/>
        </w:rPr>
      </w:pPr>
    </w:p>
    <w:p w14:paraId="5B26BDB7" w14:textId="77777777" w:rsidR="00397EDB" w:rsidRPr="00397EDB" w:rsidRDefault="00397EDB" w:rsidP="00397EDB">
      <w:pPr>
        <w:rPr>
          <w:lang w:val="cs-CZ"/>
        </w:rPr>
      </w:pPr>
    </w:p>
    <w:p w14:paraId="20C451F4" w14:textId="77777777" w:rsidR="00397EDB" w:rsidRPr="00397EDB" w:rsidRDefault="00397EDB" w:rsidP="00397EDB">
      <w:pPr>
        <w:rPr>
          <w:lang w:val="cs-CZ"/>
        </w:rPr>
      </w:pPr>
    </w:p>
    <w:p w14:paraId="6A1E6298" w14:textId="77777777" w:rsidR="00397EDB" w:rsidRPr="00397EDB" w:rsidRDefault="00397EDB" w:rsidP="00397EDB">
      <w:pPr>
        <w:rPr>
          <w:lang w:val="cs-CZ"/>
        </w:rPr>
      </w:pPr>
    </w:p>
    <w:p w14:paraId="24E0FDA6" w14:textId="77777777" w:rsidR="00397EDB" w:rsidRPr="00397EDB" w:rsidRDefault="00397EDB" w:rsidP="00397EDB">
      <w:pPr>
        <w:rPr>
          <w:lang w:val="cs-CZ"/>
        </w:rPr>
      </w:pPr>
    </w:p>
    <w:p w14:paraId="6285231D" w14:textId="77777777" w:rsidR="00397EDB" w:rsidRPr="00397EDB" w:rsidRDefault="00397EDB" w:rsidP="00397EDB">
      <w:pPr>
        <w:rPr>
          <w:lang w:val="cs-CZ"/>
        </w:rPr>
      </w:pPr>
    </w:p>
    <w:p w14:paraId="42BAFBCD" w14:textId="77777777" w:rsidR="00397EDB" w:rsidRPr="00397EDB" w:rsidRDefault="00397EDB" w:rsidP="00397EDB">
      <w:pPr>
        <w:rPr>
          <w:lang w:val="cs-CZ"/>
        </w:rPr>
      </w:pPr>
    </w:p>
    <w:p w14:paraId="2854D91D" w14:textId="77777777" w:rsidR="00397EDB" w:rsidRPr="00397EDB" w:rsidRDefault="00397EDB" w:rsidP="00397EDB">
      <w:pPr>
        <w:rPr>
          <w:lang w:val="cs-CZ"/>
        </w:rPr>
      </w:pPr>
    </w:p>
    <w:p w14:paraId="5D163659" w14:textId="5A19F4F1" w:rsidR="00397EDB" w:rsidRDefault="00397EDB" w:rsidP="00397EDB">
      <w:pPr>
        <w:rPr>
          <w:lang w:val="cs-CZ"/>
        </w:rPr>
      </w:pPr>
    </w:p>
    <w:p w14:paraId="30D69F5D" w14:textId="77777777" w:rsidR="006451F9" w:rsidRPr="00397EDB" w:rsidRDefault="006451F9" w:rsidP="00397EDB">
      <w:pPr>
        <w:ind w:firstLine="720"/>
        <w:rPr>
          <w:lang w:val="cs-CZ"/>
        </w:rPr>
      </w:pPr>
    </w:p>
    <w:sectPr w:rsidR="006451F9" w:rsidRPr="00397EDB" w:rsidSect="002541E7">
      <w:headerReference w:type="default" r:id="rId8"/>
      <w:footerReference w:type="even" r:id="rId9"/>
      <w:footerReference w:type="default" r:id="rId10"/>
      <w:pgSz w:w="11900" w:h="16840"/>
      <w:pgMar w:top="1417" w:right="985"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38775" w14:textId="77777777" w:rsidR="000F1530" w:rsidRDefault="000F1530" w:rsidP="003B1EAE">
      <w:r>
        <w:separator/>
      </w:r>
    </w:p>
  </w:endnote>
  <w:endnote w:type="continuationSeparator" w:id="0">
    <w:p w14:paraId="60154FFA" w14:textId="77777777" w:rsidR="000F1530" w:rsidRDefault="000F1530" w:rsidP="003B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w:altName w:val="Times New Roman"/>
    <w:panose1 w:val="00000000000000000000"/>
    <w:charset w:val="00"/>
    <w:family w:val="roman"/>
    <w:notTrueType/>
    <w:pitch w:val="default"/>
  </w:font>
  <w:font w:name="OpenSymbol">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243960989"/>
      <w:docPartObj>
        <w:docPartGallery w:val="Page Numbers (Bottom of Page)"/>
        <w:docPartUnique/>
      </w:docPartObj>
    </w:sdtPr>
    <w:sdtEndPr>
      <w:rPr>
        <w:rStyle w:val="slostrnky"/>
      </w:rPr>
    </w:sdtEndPr>
    <w:sdtContent>
      <w:p w14:paraId="6FA33815" w14:textId="40BFF779" w:rsidR="000E332E" w:rsidRDefault="000E332E" w:rsidP="00F300F9">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29139761" w14:textId="77777777" w:rsidR="000E332E" w:rsidRDefault="000E33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1558117421"/>
      <w:docPartObj>
        <w:docPartGallery w:val="Page Numbers (Bottom of Page)"/>
        <w:docPartUnique/>
      </w:docPartObj>
    </w:sdtPr>
    <w:sdtEndPr>
      <w:rPr>
        <w:rStyle w:val="slostrnky"/>
      </w:rPr>
    </w:sdtEndPr>
    <w:sdtContent>
      <w:p w14:paraId="26652A1C" w14:textId="53AB10A2" w:rsidR="000E332E" w:rsidRDefault="000E332E" w:rsidP="00F300F9">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127D12">
          <w:rPr>
            <w:rStyle w:val="slostrnky"/>
            <w:noProof/>
          </w:rPr>
          <w:t>26</w:t>
        </w:r>
        <w:r>
          <w:rPr>
            <w:rStyle w:val="slostrnky"/>
          </w:rPr>
          <w:fldChar w:fldCharType="end"/>
        </w:r>
      </w:p>
    </w:sdtContent>
  </w:sdt>
  <w:p w14:paraId="6B25DB91" w14:textId="5FB5362A" w:rsidR="000E332E" w:rsidRPr="00397EDB" w:rsidRDefault="000E332E" w:rsidP="00DD6DC8">
    <w:pPr>
      <w:pStyle w:val="Zpat"/>
      <w:ind w:left="-709"/>
      <w:rPr>
        <w:sz w:val="20"/>
        <w:szCs w:val="20"/>
        <w:lang w:val="cs-CZ"/>
      </w:rPr>
    </w:pPr>
    <w:r w:rsidRPr="00397EDB">
      <w:rPr>
        <w:b/>
        <w:color w:val="808080" w:themeColor="background1" w:themeShade="80"/>
        <w:sz w:val="20"/>
        <w:szCs w:val="20"/>
        <w:lang w:val="cs-CZ"/>
      </w:rPr>
      <w:t xml:space="preserve">Formulář sebeevaluační zprávy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F604E" w14:textId="77777777" w:rsidR="000F1530" w:rsidRDefault="000F1530" w:rsidP="003B1EAE">
      <w:r>
        <w:separator/>
      </w:r>
    </w:p>
  </w:footnote>
  <w:footnote w:type="continuationSeparator" w:id="0">
    <w:p w14:paraId="2C4445CF" w14:textId="77777777" w:rsidR="000F1530" w:rsidRDefault="000F1530" w:rsidP="003B1EAE">
      <w:r>
        <w:continuationSeparator/>
      </w:r>
    </w:p>
  </w:footnote>
  <w:footnote w:id="1">
    <w:p w14:paraId="300944D6" w14:textId="654F0025" w:rsidR="006603CF" w:rsidRPr="006603CF" w:rsidRDefault="006603CF" w:rsidP="006603CF">
      <w:pPr>
        <w:pStyle w:val="Textpoznpodarou"/>
        <w:jc w:val="both"/>
        <w:rPr>
          <w:sz w:val="16"/>
          <w:szCs w:val="16"/>
          <w:lang w:val="cs-CZ"/>
        </w:rPr>
      </w:pPr>
      <w:r w:rsidRPr="006603CF">
        <w:rPr>
          <w:rStyle w:val="Znakapoznpodarou"/>
          <w:sz w:val="16"/>
          <w:szCs w:val="16"/>
        </w:rPr>
        <w:footnoteRef/>
      </w:r>
      <w:r w:rsidRPr="006603CF">
        <w:rPr>
          <w:sz w:val="16"/>
          <w:szCs w:val="16"/>
        </w:rPr>
        <w:t xml:space="preserve"> </w:t>
      </w:r>
      <w:r w:rsidRPr="006603CF">
        <w:rPr>
          <w:i/>
          <w:sz w:val="16"/>
          <w:szCs w:val="16"/>
          <w:lang w:val="cs-CZ"/>
        </w:rPr>
        <w:t>Pro zjednodušení textu je pro označení osob používán mužský rod. Zpracovatel má ale vždy na mysli muže i ženy. V případech, kde jsou explicitně požadovány oddělené informace o ženách a mužích, jsou tyto údaje uvedeny.</w:t>
      </w:r>
    </w:p>
  </w:footnote>
  <w:footnote w:id="2">
    <w:p w14:paraId="26BEA333" w14:textId="77777777" w:rsidR="000E332E" w:rsidRPr="00FE58F8" w:rsidRDefault="000E332E" w:rsidP="004C27A1">
      <w:pPr>
        <w:pStyle w:val="Textpoznpodarou"/>
        <w:jc w:val="both"/>
        <w:rPr>
          <w:i/>
          <w:sz w:val="16"/>
          <w:szCs w:val="16"/>
          <w:lang w:val="cs-CZ"/>
        </w:rPr>
      </w:pPr>
      <w:r w:rsidRPr="00FE58F8">
        <w:rPr>
          <w:rStyle w:val="Znakapoznpodarou"/>
          <w:i/>
          <w:sz w:val="16"/>
          <w:szCs w:val="16"/>
        </w:rPr>
        <w:footnoteRef/>
      </w:r>
      <w:r w:rsidRPr="00FE58F8">
        <w:rPr>
          <w:i/>
          <w:sz w:val="16"/>
          <w:szCs w:val="16"/>
          <w:lang w:val="cs-CZ"/>
        </w:rPr>
        <w:t xml:space="preserve"> Podle § 2 odst. 2 písm. d) zákona č. 130/2002 Sb., ve znění pozdějších předpisů, je velkou výzkumnou infrastrukturou výzkumná infrastruktura, která je výzkumným zařízením nezbytným pro ucelenou výzkumnou a vývojovou činnost s vysokou finanční a technologickou náročností, která je schvalována vládou a zřizována pro využití též dalšími výzkumnými organizacemi.</w:t>
      </w:r>
    </w:p>
  </w:footnote>
  <w:footnote w:id="3">
    <w:p w14:paraId="4970F1A4" w14:textId="1BE3F3AD" w:rsidR="004C27A1" w:rsidRPr="004C27A1" w:rsidRDefault="004C27A1" w:rsidP="004C27A1">
      <w:pPr>
        <w:jc w:val="both"/>
        <w:rPr>
          <w:i/>
          <w:sz w:val="16"/>
          <w:szCs w:val="16"/>
          <w:lang w:val="cs-CZ"/>
        </w:rPr>
      </w:pPr>
      <w:r w:rsidRPr="004C27A1">
        <w:rPr>
          <w:rStyle w:val="Znakapoznpodarou"/>
          <w:sz w:val="16"/>
          <w:szCs w:val="16"/>
        </w:rPr>
        <w:footnoteRef/>
      </w:r>
      <w:r w:rsidRPr="004C27A1">
        <w:rPr>
          <w:sz w:val="16"/>
          <w:szCs w:val="16"/>
        </w:rPr>
        <w:t xml:space="preserve"> </w:t>
      </w:r>
      <w:r w:rsidRPr="004C27A1">
        <w:rPr>
          <w:i/>
          <w:sz w:val="16"/>
          <w:szCs w:val="16"/>
          <w:lang w:val="cs-CZ"/>
        </w:rPr>
        <w:t>Evropská rada pro výzkum (angl. European Research Council, ERC) je součástí pilíře „Excelentní věda“ v programu Horizont 2020. ERC financuje špičkový badatelský výzkum podporou individuálních hlavních řešitelů a jejich výzkumných týmů.</w:t>
      </w:r>
    </w:p>
  </w:footnote>
  <w:footnote w:id="4">
    <w:p w14:paraId="3418F493" w14:textId="1E358C93" w:rsidR="004C27A1" w:rsidRPr="004C27A1" w:rsidRDefault="004C27A1" w:rsidP="004C27A1">
      <w:pPr>
        <w:pStyle w:val="Textpoznpodarou"/>
        <w:jc w:val="both"/>
        <w:rPr>
          <w:sz w:val="16"/>
          <w:szCs w:val="16"/>
          <w:lang w:val="cs-CZ"/>
        </w:rPr>
      </w:pPr>
      <w:r w:rsidRPr="004C27A1">
        <w:rPr>
          <w:rStyle w:val="Znakapoznpodarou"/>
          <w:sz w:val="16"/>
          <w:szCs w:val="16"/>
        </w:rPr>
        <w:footnoteRef/>
      </w:r>
      <w:r w:rsidRPr="004C27A1">
        <w:rPr>
          <w:sz w:val="16"/>
          <w:szCs w:val="16"/>
        </w:rPr>
        <w:t xml:space="preserve"> </w:t>
      </w:r>
      <w:r w:rsidRPr="004C27A1">
        <w:rPr>
          <w:i/>
          <w:sz w:val="16"/>
          <w:szCs w:val="16"/>
          <w:lang w:val="cs-CZ"/>
        </w:rPr>
        <w:t>Marie Skłodowska-Curie Action (MSCA) je součástí pilíře „Excelentní věda“ v programu Horizont 2020 a je zaměřen i na podporu mladých badatelů včetně doktorandů.</w:t>
      </w:r>
    </w:p>
  </w:footnote>
  <w:footnote w:id="5">
    <w:p w14:paraId="1B6D02F9" w14:textId="32BB9E1B" w:rsidR="004C27A1" w:rsidRPr="004C27A1" w:rsidRDefault="004C27A1" w:rsidP="004C27A1">
      <w:pPr>
        <w:pStyle w:val="Textpoznpodarou"/>
        <w:jc w:val="both"/>
        <w:rPr>
          <w:sz w:val="16"/>
          <w:szCs w:val="16"/>
          <w:lang w:val="cs-CZ"/>
        </w:rPr>
      </w:pPr>
      <w:r w:rsidRPr="004C27A1">
        <w:rPr>
          <w:rStyle w:val="Znakapoznpodarou"/>
          <w:sz w:val="16"/>
          <w:szCs w:val="16"/>
        </w:rPr>
        <w:footnoteRef/>
      </w:r>
      <w:r w:rsidRPr="004C27A1">
        <w:rPr>
          <w:sz w:val="16"/>
          <w:szCs w:val="16"/>
        </w:rPr>
        <w:t xml:space="preserve"> </w:t>
      </w:r>
      <w:r w:rsidRPr="004C27A1">
        <w:rPr>
          <w:i/>
          <w:sz w:val="16"/>
          <w:szCs w:val="16"/>
          <w:lang w:val="cs-CZ"/>
        </w:rPr>
        <w:t>Howard Hughes Medical Institute - nezisková organizace v USA významně podporující mezinárodní výzkum v oblasti biomedicíny.</w:t>
      </w:r>
    </w:p>
  </w:footnote>
  <w:footnote w:id="6">
    <w:p w14:paraId="0374A240" w14:textId="4DD51C84" w:rsidR="004C27A1" w:rsidRPr="004C27A1" w:rsidRDefault="004C27A1" w:rsidP="004C27A1">
      <w:pPr>
        <w:pStyle w:val="Textpoznpodarou"/>
        <w:jc w:val="both"/>
        <w:rPr>
          <w:sz w:val="16"/>
          <w:szCs w:val="16"/>
          <w:lang w:val="cs-CZ"/>
        </w:rPr>
      </w:pPr>
      <w:r w:rsidRPr="004C27A1">
        <w:rPr>
          <w:rStyle w:val="Znakapoznpodarou"/>
          <w:sz w:val="16"/>
          <w:szCs w:val="16"/>
        </w:rPr>
        <w:footnoteRef/>
      </w:r>
      <w:r w:rsidRPr="004C27A1">
        <w:rPr>
          <w:sz w:val="16"/>
          <w:szCs w:val="16"/>
        </w:rPr>
        <w:t xml:space="preserve"> </w:t>
      </w:r>
      <w:r w:rsidRPr="004C27A1">
        <w:rPr>
          <w:i/>
          <w:sz w:val="16"/>
          <w:szCs w:val="16"/>
          <w:lang w:val="cs-CZ"/>
        </w:rPr>
        <w:t>Human Frontier Science Program - mezinárodní program podpory výzkumu zejména v oblasti přírodních věd a informatiky.</w:t>
      </w:r>
    </w:p>
  </w:footnote>
  <w:footnote w:id="7">
    <w:p w14:paraId="4D01D60B" w14:textId="509CEF23" w:rsidR="004C27A1" w:rsidRPr="004C27A1" w:rsidRDefault="004C27A1" w:rsidP="004C27A1">
      <w:pPr>
        <w:pStyle w:val="Textpoznpodarou"/>
        <w:jc w:val="both"/>
        <w:rPr>
          <w:sz w:val="16"/>
          <w:szCs w:val="16"/>
          <w:lang w:val="cs-CZ"/>
        </w:rPr>
      </w:pPr>
      <w:r w:rsidRPr="004C27A1">
        <w:rPr>
          <w:rStyle w:val="Znakapoznpodarou"/>
          <w:sz w:val="16"/>
          <w:szCs w:val="16"/>
        </w:rPr>
        <w:footnoteRef/>
      </w:r>
      <w:r w:rsidRPr="004C27A1">
        <w:rPr>
          <w:sz w:val="16"/>
          <w:szCs w:val="16"/>
        </w:rPr>
        <w:t xml:space="preserve"> </w:t>
      </w:r>
      <w:r w:rsidRPr="004C27A1">
        <w:rPr>
          <w:i/>
          <w:sz w:val="16"/>
          <w:szCs w:val="16"/>
          <w:lang w:val="cs-CZ"/>
        </w:rPr>
        <w:t>National Science Foundation (USA)</w:t>
      </w:r>
    </w:p>
  </w:footnote>
  <w:footnote w:id="8">
    <w:p w14:paraId="7F3207AE" w14:textId="77777777" w:rsidR="000E332E" w:rsidRPr="00B67533" w:rsidRDefault="000E332E" w:rsidP="004C27A1">
      <w:pPr>
        <w:jc w:val="both"/>
        <w:rPr>
          <w:i/>
          <w:sz w:val="16"/>
          <w:szCs w:val="16"/>
          <w:lang w:val="cs-CZ"/>
        </w:rPr>
      </w:pPr>
      <w:r w:rsidRPr="00B67533">
        <w:rPr>
          <w:rStyle w:val="Znakapoznpodarou"/>
          <w:rFonts w:cstheme="minorHAnsi"/>
          <w:i/>
          <w:sz w:val="16"/>
          <w:szCs w:val="16"/>
          <w:lang w:val="cs-CZ"/>
        </w:rPr>
        <w:footnoteRef/>
      </w:r>
      <w:r w:rsidRPr="00B67533">
        <w:rPr>
          <w:i/>
          <w:sz w:val="16"/>
          <w:szCs w:val="16"/>
          <w:lang w:val="cs-CZ"/>
        </w:rPr>
        <w:t xml:space="preserve"> 7. rámcový program pro výzkum a technologický rozvoj (angl. Seventh Framework Programme, FP 7) byl hlavním nástrojem Evropské unie pro financování evropského výzkumu v období 2007-2013.</w:t>
      </w:r>
    </w:p>
  </w:footnote>
  <w:footnote w:id="9">
    <w:p w14:paraId="3D5D9E0A" w14:textId="77777777" w:rsidR="000E332E" w:rsidRPr="00B67533" w:rsidRDefault="000E332E" w:rsidP="004C27A1">
      <w:pPr>
        <w:jc w:val="both"/>
        <w:rPr>
          <w:i/>
          <w:sz w:val="16"/>
          <w:szCs w:val="16"/>
          <w:lang w:val="cs-CZ"/>
        </w:rPr>
      </w:pPr>
      <w:r w:rsidRPr="00B67533">
        <w:rPr>
          <w:rStyle w:val="Znakapoznpodarou"/>
          <w:rFonts w:cstheme="minorHAnsi"/>
          <w:i/>
          <w:sz w:val="16"/>
          <w:szCs w:val="16"/>
          <w:lang w:val="cs-CZ"/>
        </w:rPr>
        <w:footnoteRef/>
      </w:r>
      <w:r w:rsidRPr="00B67533">
        <w:rPr>
          <w:i/>
          <w:sz w:val="16"/>
          <w:szCs w:val="16"/>
          <w:lang w:val="cs-CZ"/>
        </w:rPr>
        <w:t xml:space="preserve"> Horizont 2020 - 8. rámcový program pro výzkum a inovace (angl. Horizon 2020, H2020), největší program financující vědu, výzkum a inovace ve strukturách EU v letech 2014-2020.</w:t>
      </w:r>
    </w:p>
  </w:footnote>
  <w:footnote w:id="10">
    <w:p w14:paraId="4B84BAFA" w14:textId="77777777" w:rsidR="000E332E" w:rsidRPr="00B67533" w:rsidRDefault="000E332E" w:rsidP="004C27A1">
      <w:pPr>
        <w:jc w:val="both"/>
        <w:rPr>
          <w:i/>
          <w:sz w:val="16"/>
          <w:szCs w:val="16"/>
          <w:lang w:val="cs-CZ"/>
        </w:rPr>
      </w:pPr>
      <w:r w:rsidRPr="00B67533">
        <w:rPr>
          <w:rStyle w:val="Znakapoznpodarou"/>
          <w:rFonts w:cstheme="minorHAnsi"/>
          <w:i/>
          <w:sz w:val="16"/>
          <w:szCs w:val="16"/>
          <w:lang w:val="cs-CZ"/>
        </w:rPr>
        <w:footnoteRef/>
      </w:r>
      <w:r w:rsidRPr="00B67533">
        <w:rPr>
          <w:i/>
          <w:sz w:val="16"/>
          <w:szCs w:val="16"/>
          <w:lang w:val="cs-CZ"/>
        </w:rPr>
        <w:t xml:space="preserve"> Plánovaný 9. rámcový program EU pro výzkum a inovace (též Horizont Evropa, angl. Horizon Europe) vystřídá program Horizont 2020; měl by probíhat v letech 2021-2027.</w:t>
      </w:r>
    </w:p>
  </w:footnote>
  <w:footnote w:id="11">
    <w:p w14:paraId="3E05DE64" w14:textId="77777777" w:rsidR="000E332E" w:rsidRPr="00B67533" w:rsidRDefault="000E332E" w:rsidP="004C27A1">
      <w:pPr>
        <w:jc w:val="both"/>
        <w:rPr>
          <w:i/>
          <w:sz w:val="16"/>
          <w:szCs w:val="16"/>
          <w:lang w:val="cs-CZ"/>
        </w:rPr>
      </w:pPr>
      <w:r w:rsidRPr="00B67533">
        <w:rPr>
          <w:rStyle w:val="Znakapoznpodarou"/>
          <w:rFonts w:cstheme="minorHAnsi"/>
          <w:i/>
          <w:sz w:val="16"/>
          <w:szCs w:val="16"/>
          <w:lang w:val="cs-CZ"/>
        </w:rPr>
        <w:footnoteRef/>
      </w:r>
      <w:r w:rsidRPr="00B67533">
        <w:rPr>
          <w:i/>
          <w:sz w:val="16"/>
          <w:szCs w:val="16"/>
          <w:lang w:val="cs-CZ"/>
        </w:rPr>
        <w:t xml:space="preserve"> N</w:t>
      </w:r>
      <w:r>
        <w:rPr>
          <w:i/>
          <w:sz w:val="16"/>
          <w:szCs w:val="16"/>
          <w:lang w:val="cs-CZ"/>
        </w:rPr>
        <w:t>ational Institutes of Health (N</w:t>
      </w:r>
      <w:r w:rsidRPr="00B67533">
        <w:rPr>
          <w:i/>
          <w:sz w:val="16"/>
          <w:szCs w:val="16"/>
          <w:lang w:val="cs-CZ"/>
        </w:rPr>
        <w:t>I</w:t>
      </w:r>
      <w:r>
        <w:rPr>
          <w:i/>
          <w:sz w:val="16"/>
          <w:szCs w:val="16"/>
          <w:lang w:val="cs-CZ"/>
        </w:rPr>
        <w:t>H</w:t>
      </w:r>
      <w:r w:rsidRPr="00B67533">
        <w:rPr>
          <w:i/>
          <w:sz w:val="16"/>
          <w:szCs w:val="16"/>
          <w:lang w:val="cs-CZ"/>
        </w:rPr>
        <w:t>) - úřad spadající pod ministerstvo zdravotnictví Spojených států (United States Department of Health and Human Services). NHI je mj. významným aktérem projektové podpory biomedicínského výzkumu.</w:t>
      </w:r>
    </w:p>
  </w:footnote>
  <w:footnote w:id="12">
    <w:p w14:paraId="02316671" w14:textId="77777777" w:rsidR="000E332E" w:rsidRPr="00B67533" w:rsidRDefault="000E332E" w:rsidP="004C27A1">
      <w:pPr>
        <w:jc w:val="both"/>
        <w:rPr>
          <w:rFonts w:ascii="Times New Roman" w:hAnsi="Times New Roman" w:cs="Times New Roman"/>
          <w:i/>
          <w:sz w:val="16"/>
          <w:szCs w:val="16"/>
          <w:lang w:val="cs-CZ"/>
        </w:rPr>
      </w:pPr>
      <w:r w:rsidRPr="00B67533">
        <w:rPr>
          <w:rStyle w:val="Znakapoznpodarou"/>
          <w:rFonts w:cstheme="minorHAnsi"/>
          <w:i/>
          <w:sz w:val="16"/>
          <w:szCs w:val="16"/>
          <w:lang w:val="cs-CZ"/>
        </w:rPr>
        <w:footnoteRef/>
      </w:r>
      <w:r w:rsidRPr="00B67533">
        <w:rPr>
          <w:i/>
          <w:sz w:val="16"/>
          <w:szCs w:val="16"/>
          <w:lang w:val="cs-CZ"/>
        </w:rPr>
        <w:t xml:space="preserve"> Významná britská soukromá nadace podporující zejména biomedicínský výzkum.</w:t>
      </w:r>
      <w:r w:rsidRPr="00B67533">
        <w:rPr>
          <w:rFonts w:ascii="Times New Roman" w:hAnsi="Times New Roman" w:cs="Times New Roman"/>
          <w:i/>
          <w:sz w:val="16"/>
          <w:szCs w:val="16"/>
          <w:lang w:val="cs-CZ"/>
        </w:rPr>
        <w:t xml:space="preserve"> </w:t>
      </w:r>
    </w:p>
  </w:footnote>
  <w:footnote w:id="13">
    <w:p w14:paraId="3C33B4CC" w14:textId="77777777" w:rsidR="000E332E" w:rsidRPr="00CE7277" w:rsidRDefault="000E332E" w:rsidP="004C27A1">
      <w:pPr>
        <w:pStyle w:val="Textpoznpodarou"/>
        <w:jc w:val="both"/>
        <w:rPr>
          <w:sz w:val="16"/>
          <w:szCs w:val="16"/>
          <w:lang w:val="cs-CZ"/>
        </w:rPr>
      </w:pPr>
      <w:r w:rsidRPr="00CE7277">
        <w:rPr>
          <w:rStyle w:val="Znakapoznpodarou"/>
          <w:sz w:val="16"/>
          <w:szCs w:val="16"/>
        </w:rPr>
        <w:footnoteRef/>
      </w:r>
      <w:r w:rsidRPr="00CE7277">
        <w:rPr>
          <w:sz w:val="16"/>
          <w:szCs w:val="16"/>
        </w:rPr>
        <w:t xml:space="preserve"> </w:t>
      </w:r>
      <w:r w:rsidRPr="00CE7277">
        <w:rPr>
          <w:i/>
          <w:sz w:val="16"/>
          <w:szCs w:val="16"/>
          <w:lang w:val="cs-CZ"/>
        </w:rPr>
        <w:t>Operační program Výzkum, vývoj a vzdělávání - víceletý program v gesci Ministerstva školství, mládeže a tělovýchovy. V rámci OP VVV je možno v období 2014-2020 čerpat finanční prostředky z Evropských strukturálních a investičních fondů (ESIF).</w:t>
      </w:r>
    </w:p>
  </w:footnote>
  <w:footnote w:id="14">
    <w:p w14:paraId="26ABD559" w14:textId="77777777" w:rsidR="000E332E" w:rsidRPr="00CE7277" w:rsidRDefault="000E332E" w:rsidP="004C27A1">
      <w:pPr>
        <w:pStyle w:val="Textpoznpodarou"/>
        <w:jc w:val="both"/>
        <w:rPr>
          <w:lang w:val="cs-CZ"/>
        </w:rPr>
      </w:pPr>
      <w:r w:rsidRPr="00CE7277">
        <w:rPr>
          <w:rStyle w:val="Znakapoznpodarou"/>
          <w:sz w:val="16"/>
          <w:szCs w:val="16"/>
        </w:rPr>
        <w:footnoteRef/>
      </w:r>
      <w:r w:rsidRPr="00CE7277">
        <w:rPr>
          <w:sz w:val="16"/>
          <w:szCs w:val="16"/>
        </w:rPr>
        <w:t xml:space="preserve"> </w:t>
      </w:r>
      <w:r w:rsidRPr="00CE7277">
        <w:rPr>
          <w:i/>
          <w:sz w:val="16"/>
          <w:szCs w:val="16"/>
          <w:lang w:val="cs-CZ"/>
        </w:rPr>
        <w:t>Operační program Podnikání a inovace pro konkurenceschopnost - víceletý program v gesci Ministerstva průmyslu a obchodu pro čerpání finančních prostředků z Evropského fondu pro regionální rozvoj (období 2014-2020).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6A451" w14:textId="6F2FF3EB" w:rsidR="000E332E" w:rsidRDefault="000E332E" w:rsidP="00201AF0">
    <w:pPr>
      <w:pStyle w:val="Zhlav"/>
      <w:jc w:val="center"/>
      <w:rPr>
        <w:b/>
        <w:color w:val="808080" w:themeColor="background1" w:themeShade="80"/>
      </w:rPr>
    </w:pPr>
    <w:r>
      <w:rPr>
        <w:noProof/>
        <w:lang w:val="cs-CZ" w:eastAsia="cs-CZ"/>
      </w:rPr>
      <w:drawing>
        <wp:inline distT="0" distB="0" distL="0" distR="0" wp14:anchorId="1DAD80C0" wp14:editId="24311267">
          <wp:extent cx="1390650" cy="694484"/>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MT_logotyp_text_RGB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6144" cy="702222"/>
                  </a:xfrm>
                  <a:prstGeom prst="rect">
                    <a:avLst/>
                  </a:prstGeom>
                </pic:spPr>
              </pic:pic>
            </a:graphicData>
          </a:graphic>
        </wp:inline>
      </w:drawing>
    </w:r>
  </w:p>
  <w:p w14:paraId="6715F50D" w14:textId="4E655AE4" w:rsidR="000E332E" w:rsidRDefault="000E332E">
    <w:pPr>
      <w:pStyle w:val="Zhlav"/>
    </w:pPr>
  </w:p>
  <w:p w14:paraId="04440921" w14:textId="77777777" w:rsidR="000E332E" w:rsidRDefault="000E33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4769176"/>
    <w:lvl w:ilvl="0">
      <w:start w:val="1"/>
      <w:numFmt w:val="bullet"/>
      <w:pStyle w:val="Seznamsodrkami"/>
      <w:lvlText w:val=""/>
      <w:lvlJc w:val="left"/>
      <w:pPr>
        <w:tabs>
          <w:tab w:val="left" w:pos="360"/>
        </w:tabs>
        <w:ind w:left="360" w:hanging="360"/>
      </w:pPr>
      <w:rPr>
        <w:rFonts w:ascii="Symbol" w:hAnsi="Symbol" w:hint="default"/>
      </w:rPr>
    </w:lvl>
  </w:abstractNum>
  <w:abstractNum w:abstractNumId="1" w15:restartNumberingAfterBreak="0">
    <w:nsid w:val="03336508"/>
    <w:multiLevelType w:val="hybridMultilevel"/>
    <w:tmpl w:val="54DE281E"/>
    <w:lvl w:ilvl="0" w:tplc="FFFFFFFF">
      <w:start w:val="1"/>
      <w:numFmt w:val="bullet"/>
      <w:pStyle w:val="tekaern"/>
      <w:lvlText w:val=""/>
      <w:lvlJc w:val="left"/>
      <w:pPr>
        <w:tabs>
          <w:tab w:val="num" w:pos="786"/>
        </w:tabs>
        <w:ind w:left="709" w:hanging="283"/>
      </w:pPr>
      <w:rPr>
        <w:rFonts w:ascii="Symbol" w:hAnsi="Symbol" w:cs="Symbol"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26B4CB1"/>
    <w:multiLevelType w:val="hybridMultilevel"/>
    <w:tmpl w:val="C42ED4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8351E4"/>
    <w:multiLevelType w:val="hybridMultilevel"/>
    <w:tmpl w:val="432696E0"/>
    <w:lvl w:ilvl="0" w:tplc="F63CE5B0">
      <w:start w:val="4"/>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KwMDYxNzMzNTU2MbFU0lEKTi0uzszPAykwrAUAS3DkQCwAAAA="/>
  </w:docVars>
  <w:rsids>
    <w:rsidRoot w:val="004A3E6A"/>
    <w:rsid w:val="00012F5F"/>
    <w:rsid w:val="00012F81"/>
    <w:rsid w:val="0001335A"/>
    <w:rsid w:val="00013B24"/>
    <w:rsid w:val="00022BB8"/>
    <w:rsid w:val="00022E57"/>
    <w:rsid w:val="0002615C"/>
    <w:rsid w:val="000324F5"/>
    <w:rsid w:val="000401DE"/>
    <w:rsid w:val="00041308"/>
    <w:rsid w:val="00043DF0"/>
    <w:rsid w:val="00057459"/>
    <w:rsid w:val="000608BC"/>
    <w:rsid w:val="000637D1"/>
    <w:rsid w:val="00066E2E"/>
    <w:rsid w:val="00071404"/>
    <w:rsid w:val="00073440"/>
    <w:rsid w:val="00075013"/>
    <w:rsid w:val="0007583C"/>
    <w:rsid w:val="0008588C"/>
    <w:rsid w:val="000936CF"/>
    <w:rsid w:val="0009512C"/>
    <w:rsid w:val="0009658D"/>
    <w:rsid w:val="000966FC"/>
    <w:rsid w:val="000968D8"/>
    <w:rsid w:val="00096EE8"/>
    <w:rsid w:val="000A0F1D"/>
    <w:rsid w:val="000A4F38"/>
    <w:rsid w:val="000A5C9C"/>
    <w:rsid w:val="000A7F98"/>
    <w:rsid w:val="000B5C95"/>
    <w:rsid w:val="000B5E14"/>
    <w:rsid w:val="000B704B"/>
    <w:rsid w:val="000B7320"/>
    <w:rsid w:val="000C1F3F"/>
    <w:rsid w:val="000C2F6B"/>
    <w:rsid w:val="000C33F2"/>
    <w:rsid w:val="000C36DE"/>
    <w:rsid w:val="000C413B"/>
    <w:rsid w:val="000C5FD7"/>
    <w:rsid w:val="000D0AE2"/>
    <w:rsid w:val="000D48D4"/>
    <w:rsid w:val="000D4A55"/>
    <w:rsid w:val="000D5252"/>
    <w:rsid w:val="000E23E0"/>
    <w:rsid w:val="000E332E"/>
    <w:rsid w:val="000E40C2"/>
    <w:rsid w:val="000E723D"/>
    <w:rsid w:val="000F1530"/>
    <w:rsid w:val="000F226D"/>
    <w:rsid w:val="000F54B8"/>
    <w:rsid w:val="000F77EA"/>
    <w:rsid w:val="00102E38"/>
    <w:rsid w:val="00103BF9"/>
    <w:rsid w:val="00104768"/>
    <w:rsid w:val="001109C5"/>
    <w:rsid w:val="00111E92"/>
    <w:rsid w:val="00120AAB"/>
    <w:rsid w:val="00121F9B"/>
    <w:rsid w:val="001252BF"/>
    <w:rsid w:val="00127D12"/>
    <w:rsid w:val="00130577"/>
    <w:rsid w:val="001332F2"/>
    <w:rsid w:val="001337E0"/>
    <w:rsid w:val="0013487A"/>
    <w:rsid w:val="00134955"/>
    <w:rsid w:val="0013738F"/>
    <w:rsid w:val="00144253"/>
    <w:rsid w:val="00151DB2"/>
    <w:rsid w:val="00160406"/>
    <w:rsid w:val="00163FF5"/>
    <w:rsid w:val="001664E9"/>
    <w:rsid w:val="001669E4"/>
    <w:rsid w:val="001704A3"/>
    <w:rsid w:val="00172F73"/>
    <w:rsid w:val="001749AF"/>
    <w:rsid w:val="00182E42"/>
    <w:rsid w:val="00183921"/>
    <w:rsid w:val="001839A8"/>
    <w:rsid w:val="00190AC6"/>
    <w:rsid w:val="00190D3F"/>
    <w:rsid w:val="001A19E9"/>
    <w:rsid w:val="001A5FB0"/>
    <w:rsid w:val="001A61EB"/>
    <w:rsid w:val="001A6411"/>
    <w:rsid w:val="001B1B4B"/>
    <w:rsid w:val="001C5E28"/>
    <w:rsid w:val="001F017B"/>
    <w:rsid w:val="001F33B6"/>
    <w:rsid w:val="00200FC1"/>
    <w:rsid w:val="00201AF0"/>
    <w:rsid w:val="00202138"/>
    <w:rsid w:val="00202AA7"/>
    <w:rsid w:val="002045EE"/>
    <w:rsid w:val="0020617D"/>
    <w:rsid w:val="00211FD7"/>
    <w:rsid w:val="00221527"/>
    <w:rsid w:val="00241D16"/>
    <w:rsid w:val="0024203F"/>
    <w:rsid w:val="00242EEF"/>
    <w:rsid w:val="002430CE"/>
    <w:rsid w:val="0024472D"/>
    <w:rsid w:val="00252B12"/>
    <w:rsid w:val="002541E7"/>
    <w:rsid w:val="00256D0E"/>
    <w:rsid w:val="00263B1B"/>
    <w:rsid w:val="002720A3"/>
    <w:rsid w:val="00274D9B"/>
    <w:rsid w:val="0029064C"/>
    <w:rsid w:val="002957C4"/>
    <w:rsid w:val="002A4D4D"/>
    <w:rsid w:val="002B1D88"/>
    <w:rsid w:val="002B2030"/>
    <w:rsid w:val="002B3F04"/>
    <w:rsid w:val="002C3BE9"/>
    <w:rsid w:val="002C7046"/>
    <w:rsid w:val="002D0897"/>
    <w:rsid w:val="002D22BD"/>
    <w:rsid w:val="002E1A29"/>
    <w:rsid w:val="002E5D20"/>
    <w:rsid w:val="002E5D69"/>
    <w:rsid w:val="002F2764"/>
    <w:rsid w:val="002F4A8F"/>
    <w:rsid w:val="003000D2"/>
    <w:rsid w:val="00301961"/>
    <w:rsid w:val="003020B4"/>
    <w:rsid w:val="00303D98"/>
    <w:rsid w:val="00307412"/>
    <w:rsid w:val="00310B12"/>
    <w:rsid w:val="00313486"/>
    <w:rsid w:val="003139B6"/>
    <w:rsid w:val="0032048F"/>
    <w:rsid w:val="00320A4E"/>
    <w:rsid w:val="00321C0C"/>
    <w:rsid w:val="00327A86"/>
    <w:rsid w:val="0033067E"/>
    <w:rsid w:val="00331493"/>
    <w:rsid w:val="003413C3"/>
    <w:rsid w:val="00344B0C"/>
    <w:rsid w:val="0035056A"/>
    <w:rsid w:val="003525E4"/>
    <w:rsid w:val="00352A65"/>
    <w:rsid w:val="00354663"/>
    <w:rsid w:val="00360763"/>
    <w:rsid w:val="003612DA"/>
    <w:rsid w:val="003633B2"/>
    <w:rsid w:val="00367E30"/>
    <w:rsid w:val="00372E5B"/>
    <w:rsid w:val="00380CC9"/>
    <w:rsid w:val="003915FA"/>
    <w:rsid w:val="00397EDB"/>
    <w:rsid w:val="003A22BC"/>
    <w:rsid w:val="003A3F79"/>
    <w:rsid w:val="003A4CC3"/>
    <w:rsid w:val="003B024C"/>
    <w:rsid w:val="003B053D"/>
    <w:rsid w:val="003B10A6"/>
    <w:rsid w:val="003B1EAE"/>
    <w:rsid w:val="003B4709"/>
    <w:rsid w:val="003C0B82"/>
    <w:rsid w:val="003C175E"/>
    <w:rsid w:val="003C23B3"/>
    <w:rsid w:val="003C2426"/>
    <w:rsid w:val="003C28E6"/>
    <w:rsid w:val="003C4B38"/>
    <w:rsid w:val="003D16CD"/>
    <w:rsid w:val="003D33CE"/>
    <w:rsid w:val="003D37FE"/>
    <w:rsid w:val="003D4EE0"/>
    <w:rsid w:val="003E632F"/>
    <w:rsid w:val="003F2327"/>
    <w:rsid w:val="003F50F0"/>
    <w:rsid w:val="004020EE"/>
    <w:rsid w:val="00402568"/>
    <w:rsid w:val="00402D7E"/>
    <w:rsid w:val="00425A4C"/>
    <w:rsid w:val="00440405"/>
    <w:rsid w:val="00443B59"/>
    <w:rsid w:val="004445BA"/>
    <w:rsid w:val="004454BA"/>
    <w:rsid w:val="00452566"/>
    <w:rsid w:val="00463F9E"/>
    <w:rsid w:val="00470736"/>
    <w:rsid w:val="004737F9"/>
    <w:rsid w:val="00473A6D"/>
    <w:rsid w:val="00475623"/>
    <w:rsid w:val="0047669A"/>
    <w:rsid w:val="004832BD"/>
    <w:rsid w:val="0049306E"/>
    <w:rsid w:val="0049416A"/>
    <w:rsid w:val="00497532"/>
    <w:rsid w:val="004A1F1A"/>
    <w:rsid w:val="004A3E6A"/>
    <w:rsid w:val="004A3EE3"/>
    <w:rsid w:val="004A61D6"/>
    <w:rsid w:val="004A7267"/>
    <w:rsid w:val="004B4DB3"/>
    <w:rsid w:val="004C27A1"/>
    <w:rsid w:val="004C35E1"/>
    <w:rsid w:val="004C71C0"/>
    <w:rsid w:val="004D2550"/>
    <w:rsid w:val="004D5E88"/>
    <w:rsid w:val="004D75F3"/>
    <w:rsid w:val="004E0961"/>
    <w:rsid w:val="004E251E"/>
    <w:rsid w:val="004E79F7"/>
    <w:rsid w:val="00500C5B"/>
    <w:rsid w:val="005014B0"/>
    <w:rsid w:val="00501E77"/>
    <w:rsid w:val="0050735A"/>
    <w:rsid w:val="0051548D"/>
    <w:rsid w:val="00515B2F"/>
    <w:rsid w:val="005163A4"/>
    <w:rsid w:val="0051655C"/>
    <w:rsid w:val="00521658"/>
    <w:rsid w:val="0053551F"/>
    <w:rsid w:val="0054134C"/>
    <w:rsid w:val="00547527"/>
    <w:rsid w:val="00547BB4"/>
    <w:rsid w:val="00551E08"/>
    <w:rsid w:val="00560F7C"/>
    <w:rsid w:val="00562854"/>
    <w:rsid w:val="005648A6"/>
    <w:rsid w:val="005704E8"/>
    <w:rsid w:val="0058356A"/>
    <w:rsid w:val="00590FF1"/>
    <w:rsid w:val="0059152E"/>
    <w:rsid w:val="0059266F"/>
    <w:rsid w:val="00593959"/>
    <w:rsid w:val="005973EB"/>
    <w:rsid w:val="005A0DDE"/>
    <w:rsid w:val="005A1212"/>
    <w:rsid w:val="005A27BE"/>
    <w:rsid w:val="005A4D22"/>
    <w:rsid w:val="005A5DA9"/>
    <w:rsid w:val="005A6FBD"/>
    <w:rsid w:val="005B0A69"/>
    <w:rsid w:val="005D08B7"/>
    <w:rsid w:val="005D3366"/>
    <w:rsid w:val="005D4210"/>
    <w:rsid w:val="005E0A69"/>
    <w:rsid w:val="005E5A5F"/>
    <w:rsid w:val="005F3223"/>
    <w:rsid w:val="005F7675"/>
    <w:rsid w:val="00604726"/>
    <w:rsid w:val="0060786D"/>
    <w:rsid w:val="00612DDC"/>
    <w:rsid w:val="0061432D"/>
    <w:rsid w:val="006152B4"/>
    <w:rsid w:val="00616E88"/>
    <w:rsid w:val="0062018B"/>
    <w:rsid w:val="0062778D"/>
    <w:rsid w:val="00632A58"/>
    <w:rsid w:val="00634B3A"/>
    <w:rsid w:val="006353FE"/>
    <w:rsid w:val="0063799D"/>
    <w:rsid w:val="006451F9"/>
    <w:rsid w:val="00652797"/>
    <w:rsid w:val="00653690"/>
    <w:rsid w:val="006603CF"/>
    <w:rsid w:val="00661226"/>
    <w:rsid w:val="00663DC8"/>
    <w:rsid w:val="00674ACA"/>
    <w:rsid w:val="00681362"/>
    <w:rsid w:val="00686516"/>
    <w:rsid w:val="0068697F"/>
    <w:rsid w:val="0069384E"/>
    <w:rsid w:val="00695518"/>
    <w:rsid w:val="006A715C"/>
    <w:rsid w:val="006B1643"/>
    <w:rsid w:val="006B1ABD"/>
    <w:rsid w:val="006B3CD9"/>
    <w:rsid w:val="006B49A0"/>
    <w:rsid w:val="006B4D49"/>
    <w:rsid w:val="006B7321"/>
    <w:rsid w:val="006B7F23"/>
    <w:rsid w:val="006C1A2E"/>
    <w:rsid w:val="006C49FE"/>
    <w:rsid w:val="006C7A00"/>
    <w:rsid w:val="006C7C13"/>
    <w:rsid w:val="006D5BF3"/>
    <w:rsid w:val="006D61E5"/>
    <w:rsid w:val="006D7CF0"/>
    <w:rsid w:val="006E54CF"/>
    <w:rsid w:val="006F6636"/>
    <w:rsid w:val="006F6A8D"/>
    <w:rsid w:val="00701728"/>
    <w:rsid w:val="00707E8D"/>
    <w:rsid w:val="0071769E"/>
    <w:rsid w:val="00722FF4"/>
    <w:rsid w:val="00724058"/>
    <w:rsid w:val="00724734"/>
    <w:rsid w:val="00725C00"/>
    <w:rsid w:val="00736330"/>
    <w:rsid w:val="00741F2D"/>
    <w:rsid w:val="0074303E"/>
    <w:rsid w:val="007448CB"/>
    <w:rsid w:val="00755231"/>
    <w:rsid w:val="007569B9"/>
    <w:rsid w:val="00766851"/>
    <w:rsid w:val="00775C30"/>
    <w:rsid w:val="007807A3"/>
    <w:rsid w:val="0078095D"/>
    <w:rsid w:val="007848FE"/>
    <w:rsid w:val="007924D6"/>
    <w:rsid w:val="0079622A"/>
    <w:rsid w:val="007A0CF7"/>
    <w:rsid w:val="007C1AD4"/>
    <w:rsid w:val="007C51AE"/>
    <w:rsid w:val="007E1B9D"/>
    <w:rsid w:val="007E1C54"/>
    <w:rsid w:val="007F51A8"/>
    <w:rsid w:val="007F6EFF"/>
    <w:rsid w:val="0080686D"/>
    <w:rsid w:val="00820AAF"/>
    <w:rsid w:val="00826B63"/>
    <w:rsid w:val="008314C3"/>
    <w:rsid w:val="00837EEB"/>
    <w:rsid w:val="00844F8F"/>
    <w:rsid w:val="00845630"/>
    <w:rsid w:val="00846314"/>
    <w:rsid w:val="00847639"/>
    <w:rsid w:val="00857FAB"/>
    <w:rsid w:val="00864E46"/>
    <w:rsid w:val="00865A50"/>
    <w:rsid w:val="00873115"/>
    <w:rsid w:val="00875504"/>
    <w:rsid w:val="00877F6E"/>
    <w:rsid w:val="00890EA0"/>
    <w:rsid w:val="00892563"/>
    <w:rsid w:val="00895671"/>
    <w:rsid w:val="008963B9"/>
    <w:rsid w:val="008A0435"/>
    <w:rsid w:val="008A702C"/>
    <w:rsid w:val="008B6CFA"/>
    <w:rsid w:val="008C08C2"/>
    <w:rsid w:val="008C5C0D"/>
    <w:rsid w:val="008D043C"/>
    <w:rsid w:val="008D0FCF"/>
    <w:rsid w:val="008D2517"/>
    <w:rsid w:val="008D2A28"/>
    <w:rsid w:val="008D5309"/>
    <w:rsid w:val="008D7F57"/>
    <w:rsid w:val="008E1A6E"/>
    <w:rsid w:val="008E250D"/>
    <w:rsid w:val="008E30A0"/>
    <w:rsid w:val="008E34BA"/>
    <w:rsid w:val="008E7986"/>
    <w:rsid w:val="00900713"/>
    <w:rsid w:val="009050E2"/>
    <w:rsid w:val="00907B44"/>
    <w:rsid w:val="009139DA"/>
    <w:rsid w:val="00914EDA"/>
    <w:rsid w:val="00915ABA"/>
    <w:rsid w:val="00915C15"/>
    <w:rsid w:val="00925E05"/>
    <w:rsid w:val="009275AF"/>
    <w:rsid w:val="0093373A"/>
    <w:rsid w:val="00935E4A"/>
    <w:rsid w:val="00940698"/>
    <w:rsid w:val="00957C88"/>
    <w:rsid w:val="0096628E"/>
    <w:rsid w:val="00971CCF"/>
    <w:rsid w:val="00976065"/>
    <w:rsid w:val="00976372"/>
    <w:rsid w:val="009764F2"/>
    <w:rsid w:val="0097716B"/>
    <w:rsid w:val="009811CB"/>
    <w:rsid w:val="00982BFA"/>
    <w:rsid w:val="009A473E"/>
    <w:rsid w:val="009A605D"/>
    <w:rsid w:val="009A65DC"/>
    <w:rsid w:val="009B0CC7"/>
    <w:rsid w:val="009B6DD0"/>
    <w:rsid w:val="009C1CC6"/>
    <w:rsid w:val="009C3672"/>
    <w:rsid w:val="009C4B64"/>
    <w:rsid w:val="009D0004"/>
    <w:rsid w:val="009E50E9"/>
    <w:rsid w:val="009F0132"/>
    <w:rsid w:val="009F09B5"/>
    <w:rsid w:val="009F1691"/>
    <w:rsid w:val="009F60BF"/>
    <w:rsid w:val="00A05D7C"/>
    <w:rsid w:val="00A07E20"/>
    <w:rsid w:val="00A10324"/>
    <w:rsid w:val="00A12456"/>
    <w:rsid w:val="00A138F6"/>
    <w:rsid w:val="00A15052"/>
    <w:rsid w:val="00A17023"/>
    <w:rsid w:val="00A1780A"/>
    <w:rsid w:val="00A20459"/>
    <w:rsid w:val="00A2252A"/>
    <w:rsid w:val="00A25121"/>
    <w:rsid w:val="00A25CD7"/>
    <w:rsid w:val="00A26FB2"/>
    <w:rsid w:val="00A271D2"/>
    <w:rsid w:val="00A335FB"/>
    <w:rsid w:val="00A3406B"/>
    <w:rsid w:val="00A40B69"/>
    <w:rsid w:val="00A4132B"/>
    <w:rsid w:val="00A4133C"/>
    <w:rsid w:val="00A420EF"/>
    <w:rsid w:val="00A436A1"/>
    <w:rsid w:val="00A436F1"/>
    <w:rsid w:val="00A4393D"/>
    <w:rsid w:val="00A47D34"/>
    <w:rsid w:val="00A52394"/>
    <w:rsid w:val="00A548C9"/>
    <w:rsid w:val="00A64CF8"/>
    <w:rsid w:val="00A65208"/>
    <w:rsid w:val="00A72D99"/>
    <w:rsid w:val="00A72FBF"/>
    <w:rsid w:val="00A752F9"/>
    <w:rsid w:val="00A776D5"/>
    <w:rsid w:val="00A802AE"/>
    <w:rsid w:val="00A86778"/>
    <w:rsid w:val="00A93A74"/>
    <w:rsid w:val="00A9530E"/>
    <w:rsid w:val="00AA1782"/>
    <w:rsid w:val="00AA40B5"/>
    <w:rsid w:val="00AA47E6"/>
    <w:rsid w:val="00AA4B40"/>
    <w:rsid w:val="00AA540B"/>
    <w:rsid w:val="00AB57F6"/>
    <w:rsid w:val="00AC0C08"/>
    <w:rsid w:val="00AC0FD5"/>
    <w:rsid w:val="00AC680A"/>
    <w:rsid w:val="00AC7A83"/>
    <w:rsid w:val="00AD0AEC"/>
    <w:rsid w:val="00AE1878"/>
    <w:rsid w:val="00AE1B74"/>
    <w:rsid w:val="00AE3750"/>
    <w:rsid w:val="00AE3866"/>
    <w:rsid w:val="00AE6213"/>
    <w:rsid w:val="00AE7232"/>
    <w:rsid w:val="00B0335F"/>
    <w:rsid w:val="00B302CF"/>
    <w:rsid w:val="00B31F4A"/>
    <w:rsid w:val="00B330A3"/>
    <w:rsid w:val="00B353AC"/>
    <w:rsid w:val="00B364BB"/>
    <w:rsid w:val="00B373D0"/>
    <w:rsid w:val="00B4652D"/>
    <w:rsid w:val="00B46955"/>
    <w:rsid w:val="00B51DBB"/>
    <w:rsid w:val="00B60065"/>
    <w:rsid w:val="00B61E2A"/>
    <w:rsid w:val="00B638B1"/>
    <w:rsid w:val="00B64D51"/>
    <w:rsid w:val="00B74B6C"/>
    <w:rsid w:val="00B811B2"/>
    <w:rsid w:val="00B82021"/>
    <w:rsid w:val="00B971FC"/>
    <w:rsid w:val="00BA193D"/>
    <w:rsid w:val="00BA2E05"/>
    <w:rsid w:val="00BA354B"/>
    <w:rsid w:val="00BA39DF"/>
    <w:rsid w:val="00BB2299"/>
    <w:rsid w:val="00BB2C05"/>
    <w:rsid w:val="00BB732B"/>
    <w:rsid w:val="00BB738F"/>
    <w:rsid w:val="00BC0670"/>
    <w:rsid w:val="00BC1F13"/>
    <w:rsid w:val="00BC45D1"/>
    <w:rsid w:val="00BC7C31"/>
    <w:rsid w:val="00BD091D"/>
    <w:rsid w:val="00BD51AE"/>
    <w:rsid w:val="00BE3247"/>
    <w:rsid w:val="00BE59D1"/>
    <w:rsid w:val="00BE66DA"/>
    <w:rsid w:val="00BF0AC7"/>
    <w:rsid w:val="00BF76F5"/>
    <w:rsid w:val="00C0044A"/>
    <w:rsid w:val="00C07A70"/>
    <w:rsid w:val="00C10D0D"/>
    <w:rsid w:val="00C10D5C"/>
    <w:rsid w:val="00C13C77"/>
    <w:rsid w:val="00C153F2"/>
    <w:rsid w:val="00C2186C"/>
    <w:rsid w:val="00C2294E"/>
    <w:rsid w:val="00C253ED"/>
    <w:rsid w:val="00C27173"/>
    <w:rsid w:val="00C27C3D"/>
    <w:rsid w:val="00C30C2D"/>
    <w:rsid w:val="00C347E8"/>
    <w:rsid w:val="00C513B3"/>
    <w:rsid w:val="00C516B1"/>
    <w:rsid w:val="00C52874"/>
    <w:rsid w:val="00C636F2"/>
    <w:rsid w:val="00C70C75"/>
    <w:rsid w:val="00C72E29"/>
    <w:rsid w:val="00C74DDC"/>
    <w:rsid w:val="00C75BFD"/>
    <w:rsid w:val="00C83265"/>
    <w:rsid w:val="00C90EF6"/>
    <w:rsid w:val="00C938CB"/>
    <w:rsid w:val="00C9566C"/>
    <w:rsid w:val="00CA13DE"/>
    <w:rsid w:val="00CA1F26"/>
    <w:rsid w:val="00CA2407"/>
    <w:rsid w:val="00CB06E2"/>
    <w:rsid w:val="00CC0047"/>
    <w:rsid w:val="00CC09CE"/>
    <w:rsid w:val="00CC0AF8"/>
    <w:rsid w:val="00CC3C98"/>
    <w:rsid w:val="00CD034C"/>
    <w:rsid w:val="00CD0FA6"/>
    <w:rsid w:val="00CD5E24"/>
    <w:rsid w:val="00CE4991"/>
    <w:rsid w:val="00CF2D17"/>
    <w:rsid w:val="00CF56B2"/>
    <w:rsid w:val="00CF7A9C"/>
    <w:rsid w:val="00D05326"/>
    <w:rsid w:val="00D0745E"/>
    <w:rsid w:val="00D207E0"/>
    <w:rsid w:val="00D2180C"/>
    <w:rsid w:val="00D218CF"/>
    <w:rsid w:val="00D219AB"/>
    <w:rsid w:val="00D2335D"/>
    <w:rsid w:val="00D24B0A"/>
    <w:rsid w:val="00D27F68"/>
    <w:rsid w:val="00D31B24"/>
    <w:rsid w:val="00D32C1C"/>
    <w:rsid w:val="00D33444"/>
    <w:rsid w:val="00D377F0"/>
    <w:rsid w:val="00D4138E"/>
    <w:rsid w:val="00D52CF4"/>
    <w:rsid w:val="00D55DF8"/>
    <w:rsid w:val="00D560AE"/>
    <w:rsid w:val="00D74984"/>
    <w:rsid w:val="00D77C88"/>
    <w:rsid w:val="00D8014C"/>
    <w:rsid w:val="00D8557D"/>
    <w:rsid w:val="00D862D3"/>
    <w:rsid w:val="00D901D8"/>
    <w:rsid w:val="00D905E1"/>
    <w:rsid w:val="00D93B26"/>
    <w:rsid w:val="00D971D2"/>
    <w:rsid w:val="00D97829"/>
    <w:rsid w:val="00D97D52"/>
    <w:rsid w:val="00DA1EEF"/>
    <w:rsid w:val="00DA3EA0"/>
    <w:rsid w:val="00DB22FA"/>
    <w:rsid w:val="00DB2DA6"/>
    <w:rsid w:val="00DB6209"/>
    <w:rsid w:val="00DB7198"/>
    <w:rsid w:val="00DC1B55"/>
    <w:rsid w:val="00DD12AB"/>
    <w:rsid w:val="00DD14BA"/>
    <w:rsid w:val="00DD3507"/>
    <w:rsid w:val="00DD5905"/>
    <w:rsid w:val="00DD6DC8"/>
    <w:rsid w:val="00DD73FF"/>
    <w:rsid w:val="00DE4AB9"/>
    <w:rsid w:val="00DE4CF4"/>
    <w:rsid w:val="00DE5044"/>
    <w:rsid w:val="00DE6E7D"/>
    <w:rsid w:val="00DE70B5"/>
    <w:rsid w:val="00DF0B37"/>
    <w:rsid w:val="00DF44EB"/>
    <w:rsid w:val="00E027C7"/>
    <w:rsid w:val="00E027FB"/>
    <w:rsid w:val="00E050F1"/>
    <w:rsid w:val="00E06764"/>
    <w:rsid w:val="00E06A20"/>
    <w:rsid w:val="00E10762"/>
    <w:rsid w:val="00E12016"/>
    <w:rsid w:val="00E14A1A"/>
    <w:rsid w:val="00E16FBA"/>
    <w:rsid w:val="00E175B3"/>
    <w:rsid w:val="00E17FCD"/>
    <w:rsid w:val="00E32ECB"/>
    <w:rsid w:val="00E425F8"/>
    <w:rsid w:val="00E427A6"/>
    <w:rsid w:val="00E46457"/>
    <w:rsid w:val="00E47603"/>
    <w:rsid w:val="00E5324A"/>
    <w:rsid w:val="00E6545F"/>
    <w:rsid w:val="00E71FF3"/>
    <w:rsid w:val="00E72622"/>
    <w:rsid w:val="00E73B54"/>
    <w:rsid w:val="00E87630"/>
    <w:rsid w:val="00E90BA9"/>
    <w:rsid w:val="00E90E07"/>
    <w:rsid w:val="00E94D69"/>
    <w:rsid w:val="00E95D37"/>
    <w:rsid w:val="00EA225A"/>
    <w:rsid w:val="00EA6157"/>
    <w:rsid w:val="00EA6890"/>
    <w:rsid w:val="00EA6BC1"/>
    <w:rsid w:val="00EA7BD7"/>
    <w:rsid w:val="00EB22C0"/>
    <w:rsid w:val="00EB2A4F"/>
    <w:rsid w:val="00EB42AC"/>
    <w:rsid w:val="00ED226A"/>
    <w:rsid w:val="00ED33FB"/>
    <w:rsid w:val="00ED4FA0"/>
    <w:rsid w:val="00EE60F6"/>
    <w:rsid w:val="00EE70B8"/>
    <w:rsid w:val="00EE7542"/>
    <w:rsid w:val="00EE7855"/>
    <w:rsid w:val="00EF057F"/>
    <w:rsid w:val="00EF4623"/>
    <w:rsid w:val="00EF7610"/>
    <w:rsid w:val="00F00497"/>
    <w:rsid w:val="00F106FF"/>
    <w:rsid w:val="00F110B3"/>
    <w:rsid w:val="00F2285E"/>
    <w:rsid w:val="00F266D6"/>
    <w:rsid w:val="00F300F9"/>
    <w:rsid w:val="00F30E3B"/>
    <w:rsid w:val="00F31ED7"/>
    <w:rsid w:val="00F324BF"/>
    <w:rsid w:val="00F33854"/>
    <w:rsid w:val="00F34EF2"/>
    <w:rsid w:val="00F358DF"/>
    <w:rsid w:val="00F369A7"/>
    <w:rsid w:val="00F36B9A"/>
    <w:rsid w:val="00F516DE"/>
    <w:rsid w:val="00F6635A"/>
    <w:rsid w:val="00F72FCC"/>
    <w:rsid w:val="00F7449B"/>
    <w:rsid w:val="00F778DD"/>
    <w:rsid w:val="00F77C78"/>
    <w:rsid w:val="00F84DE3"/>
    <w:rsid w:val="00F8692C"/>
    <w:rsid w:val="00F87DEC"/>
    <w:rsid w:val="00F96664"/>
    <w:rsid w:val="00FA1AB9"/>
    <w:rsid w:val="00FA4310"/>
    <w:rsid w:val="00FA4589"/>
    <w:rsid w:val="00FA5694"/>
    <w:rsid w:val="00FA683C"/>
    <w:rsid w:val="00FB0C4A"/>
    <w:rsid w:val="00FB66E1"/>
    <w:rsid w:val="00FB7899"/>
    <w:rsid w:val="00FC31F1"/>
    <w:rsid w:val="00FC6530"/>
    <w:rsid w:val="00FC7C1B"/>
    <w:rsid w:val="00FD5E90"/>
    <w:rsid w:val="00FE0BAB"/>
    <w:rsid w:val="00FE27ED"/>
    <w:rsid w:val="00FE58F8"/>
    <w:rsid w:val="00FE7A9B"/>
    <w:rsid w:val="00FF5C5A"/>
    <w:rsid w:val="00FF7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7F124"/>
  <w15:chartTrackingRefBased/>
  <w15:docId w15:val="{6E3AA0B3-A5C8-AA46-A049-F0E4E4D0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C0C08"/>
  </w:style>
  <w:style w:type="paragraph" w:styleId="Nadpis1">
    <w:name w:val="heading 1"/>
    <w:basedOn w:val="Normln"/>
    <w:next w:val="Normln"/>
    <w:link w:val="Nadpis1Char"/>
    <w:autoRedefine/>
    <w:uiPriority w:val="9"/>
    <w:qFormat/>
    <w:rsid w:val="00E14A1A"/>
    <w:pPr>
      <w:keepNext/>
      <w:keepLines/>
      <w:spacing w:before="240"/>
      <w:jc w:val="center"/>
      <w:outlineLvl w:val="0"/>
    </w:pPr>
    <w:rPr>
      <w:rFonts w:asciiTheme="majorHAnsi" w:eastAsiaTheme="majorEastAsia" w:hAnsiTheme="majorHAnsi" w:cstheme="majorBidi"/>
      <w:b/>
      <w:sz w:val="32"/>
      <w:szCs w:val="32"/>
    </w:rPr>
  </w:style>
  <w:style w:type="paragraph" w:styleId="Nadpis2">
    <w:name w:val="heading 2"/>
    <w:basedOn w:val="Normln"/>
    <w:next w:val="Normln"/>
    <w:link w:val="Nadpis2Char"/>
    <w:autoRedefine/>
    <w:uiPriority w:val="9"/>
    <w:unhideWhenUsed/>
    <w:qFormat/>
    <w:rsid w:val="00E14A1A"/>
    <w:pPr>
      <w:keepNext/>
      <w:keepLines/>
      <w:spacing w:before="200" w:line="276" w:lineRule="auto"/>
      <w:jc w:val="center"/>
      <w:outlineLvl w:val="1"/>
    </w:pPr>
    <w:rPr>
      <w:rFonts w:asciiTheme="majorHAnsi" w:eastAsiaTheme="majorEastAsia" w:hAnsiTheme="majorHAnsi" w:cstheme="majorBidi"/>
      <w:b/>
      <w:bCs/>
      <w:sz w:val="28"/>
      <w:szCs w:val="26"/>
      <w:lang w:val="cs-CZ"/>
    </w:rPr>
  </w:style>
  <w:style w:type="paragraph" w:styleId="Nadpis3">
    <w:name w:val="heading 3"/>
    <w:basedOn w:val="Normln"/>
    <w:next w:val="Normln"/>
    <w:link w:val="Nadpis3Char"/>
    <w:autoRedefine/>
    <w:uiPriority w:val="9"/>
    <w:unhideWhenUsed/>
    <w:qFormat/>
    <w:rsid w:val="00CA1F26"/>
    <w:pPr>
      <w:keepNext/>
      <w:keepLines/>
      <w:spacing w:before="40"/>
      <w:outlineLvl w:val="2"/>
    </w:pPr>
    <w:rPr>
      <w:rFonts w:eastAsiaTheme="majorEastAsia" w:cstheme="majorBidi"/>
      <w:b/>
      <w:color w:val="808080" w:themeColor="background1" w:themeShade="80"/>
    </w:rPr>
  </w:style>
  <w:style w:type="paragraph" w:styleId="Nadpis4">
    <w:name w:val="heading 4"/>
    <w:basedOn w:val="Normln"/>
    <w:next w:val="Normln"/>
    <w:link w:val="Nadpis4Char"/>
    <w:uiPriority w:val="9"/>
    <w:unhideWhenUsed/>
    <w:qFormat/>
    <w:rsid w:val="00925E05"/>
    <w:pPr>
      <w:keepNext/>
      <w:keepLines/>
      <w:spacing w:before="40"/>
      <w:ind w:left="864" w:hanging="864"/>
      <w:outlineLvl w:val="3"/>
    </w:pPr>
    <w:rPr>
      <w:rFonts w:asciiTheme="majorHAnsi" w:eastAsiaTheme="majorEastAsia" w:hAnsiTheme="majorHAnsi" w:cstheme="majorBidi"/>
      <w:i/>
      <w:iCs/>
      <w:sz w:val="22"/>
      <w:szCs w:val="22"/>
    </w:rPr>
  </w:style>
  <w:style w:type="paragraph" w:styleId="Nadpis5">
    <w:name w:val="heading 5"/>
    <w:basedOn w:val="Normln"/>
    <w:next w:val="Normln"/>
    <w:link w:val="Nadpis5Char"/>
    <w:uiPriority w:val="9"/>
    <w:semiHidden/>
    <w:unhideWhenUsed/>
    <w:qFormat/>
    <w:rsid w:val="00925E05"/>
    <w:pPr>
      <w:keepNext/>
      <w:keepLines/>
      <w:spacing w:before="40"/>
      <w:ind w:left="1008" w:hanging="1008"/>
      <w:outlineLvl w:val="4"/>
    </w:pPr>
    <w:rPr>
      <w:rFonts w:asciiTheme="majorHAnsi" w:eastAsiaTheme="majorEastAsia" w:hAnsiTheme="majorHAnsi" w:cstheme="majorBidi"/>
      <w:color w:val="2F5496" w:themeColor="accent1" w:themeShade="BF"/>
      <w:sz w:val="22"/>
      <w:szCs w:val="22"/>
    </w:rPr>
  </w:style>
  <w:style w:type="paragraph" w:styleId="Nadpis6">
    <w:name w:val="heading 6"/>
    <w:basedOn w:val="Normln"/>
    <w:next w:val="Normln"/>
    <w:link w:val="Nadpis6Char"/>
    <w:uiPriority w:val="9"/>
    <w:semiHidden/>
    <w:unhideWhenUsed/>
    <w:qFormat/>
    <w:rsid w:val="00925E05"/>
    <w:pPr>
      <w:keepNext/>
      <w:keepLines/>
      <w:spacing w:before="40"/>
      <w:ind w:left="1152" w:hanging="1152"/>
      <w:outlineLvl w:val="5"/>
    </w:pPr>
    <w:rPr>
      <w:rFonts w:asciiTheme="majorHAnsi" w:eastAsiaTheme="majorEastAsia" w:hAnsiTheme="majorHAnsi" w:cstheme="majorBidi"/>
      <w:color w:val="1F3763" w:themeColor="accent1" w:themeShade="7F"/>
      <w:sz w:val="22"/>
      <w:szCs w:val="22"/>
    </w:rPr>
  </w:style>
  <w:style w:type="paragraph" w:styleId="Nadpis7">
    <w:name w:val="heading 7"/>
    <w:basedOn w:val="Normln"/>
    <w:next w:val="Normln"/>
    <w:link w:val="Nadpis7Char"/>
    <w:uiPriority w:val="9"/>
    <w:semiHidden/>
    <w:unhideWhenUsed/>
    <w:qFormat/>
    <w:rsid w:val="00925E05"/>
    <w:pPr>
      <w:keepNext/>
      <w:keepLines/>
      <w:spacing w:before="40"/>
      <w:ind w:left="1296" w:hanging="1296"/>
      <w:outlineLvl w:val="6"/>
    </w:pPr>
    <w:rPr>
      <w:rFonts w:asciiTheme="majorHAnsi" w:eastAsiaTheme="majorEastAsia" w:hAnsiTheme="majorHAnsi" w:cstheme="majorBidi"/>
      <w:i/>
      <w:iCs/>
      <w:color w:val="1F3763" w:themeColor="accent1" w:themeShade="7F"/>
      <w:sz w:val="22"/>
      <w:szCs w:val="22"/>
    </w:rPr>
  </w:style>
  <w:style w:type="paragraph" w:styleId="Nadpis8">
    <w:name w:val="heading 8"/>
    <w:basedOn w:val="Normln"/>
    <w:next w:val="Normln"/>
    <w:link w:val="Nadpis8Char"/>
    <w:uiPriority w:val="9"/>
    <w:semiHidden/>
    <w:unhideWhenUsed/>
    <w:qFormat/>
    <w:rsid w:val="00925E05"/>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25E05"/>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A3E6A"/>
    <w:pPr>
      <w:ind w:left="720"/>
      <w:contextualSpacing/>
    </w:pPr>
  </w:style>
  <w:style w:type="character" w:styleId="Odkaznakoment">
    <w:name w:val="annotation reference"/>
    <w:basedOn w:val="Standardnpsmoodstavce"/>
    <w:uiPriority w:val="99"/>
    <w:semiHidden/>
    <w:unhideWhenUsed/>
    <w:rsid w:val="0049306E"/>
    <w:rPr>
      <w:sz w:val="16"/>
      <w:szCs w:val="16"/>
    </w:rPr>
  </w:style>
  <w:style w:type="paragraph" w:styleId="Textkomente">
    <w:name w:val="annotation text"/>
    <w:basedOn w:val="Normln"/>
    <w:link w:val="TextkomenteChar"/>
    <w:uiPriority w:val="99"/>
    <w:unhideWhenUsed/>
    <w:rsid w:val="0049306E"/>
    <w:rPr>
      <w:sz w:val="20"/>
      <w:szCs w:val="20"/>
    </w:rPr>
  </w:style>
  <w:style w:type="character" w:customStyle="1" w:styleId="TextkomenteChar">
    <w:name w:val="Text komentáře Char"/>
    <w:basedOn w:val="Standardnpsmoodstavce"/>
    <w:link w:val="Textkomente"/>
    <w:uiPriority w:val="99"/>
    <w:rsid w:val="0049306E"/>
    <w:rPr>
      <w:sz w:val="20"/>
      <w:szCs w:val="20"/>
    </w:rPr>
  </w:style>
  <w:style w:type="paragraph" w:styleId="Pedmtkomente">
    <w:name w:val="annotation subject"/>
    <w:basedOn w:val="Textkomente"/>
    <w:next w:val="Textkomente"/>
    <w:link w:val="PedmtkomenteChar"/>
    <w:uiPriority w:val="99"/>
    <w:semiHidden/>
    <w:unhideWhenUsed/>
    <w:rsid w:val="0049306E"/>
    <w:rPr>
      <w:b/>
      <w:bCs/>
    </w:rPr>
  </w:style>
  <w:style w:type="character" w:customStyle="1" w:styleId="PedmtkomenteChar">
    <w:name w:val="Předmět komentáře Char"/>
    <w:basedOn w:val="TextkomenteChar"/>
    <w:link w:val="Pedmtkomente"/>
    <w:uiPriority w:val="99"/>
    <w:semiHidden/>
    <w:rsid w:val="0049306E"/>
    <w:rPr>
      <w:b/>
      <w:bCs/>
      <w:sz w:val="20"/>
      <w:szCs w:val="20"/>
    </w:rPr>
  </w:style>
  <w:style w:type="paragraph" w:styleId="Textbubliny">
    <w:name w:val="Balloon Text"/>
    <w:basedOn w:val="Normln"/>
    <w:link w:val="TextbublinyChar"/>
    <w:uiPriority w:val="99"/>
    <w:semiHidden/>
    <w:unhideWhenUsed/>
    <w:rsid w:val="0049306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306E"/>
    <w:rPr>
      <w:rFonts w:ascii="Segoe UI" w:hAnsi="Segoe UI" w:cs="Segoe UI"/>
      <w:sz w:val="18"/>
      <w:szCs w:val="18"/>
    </w:rPr>
  </w:style>
  <w:style w:type="paragraph" w:styleId="Zpat">
    <w:name w:val="footer"/>
    <w:basedOn w:val="Normln"/>
    <w:link w:val="ZpatChar"/>
    <w:uiPriority w:val="99"/>
    <w:unhideWhenUsed/>
    <w:rsid w:val="003B1EAE"/>
    <w:pPr>
      <w:tabs>
        <w:tab w:val="center" w:pos="4536"/>
        <w:tab w:val="right" w:pos="9072"/>
      </w:tabs>
    </w:pPr>
  </w:style>
  <w:style w:type="character" w:customStyle="1" w:styleId="ZpatChar">
    <w:name w:val="Zápatí Char"/>
    <w:basedOn w:val="Standardnpsmoodstavce"/>
    <w:link w:val="Zpat"/>
    <w:uiPriority w:val="99"/>
    <w:rsid w:val="003B1EAE"/>
  </w:style>
  <w:style w:type="character" w:styleId="slostrnky">
    <w:name w:val="page number"/>
    <w:basedOn w:val="Standardnpsmoodstavce"/>
    <w:uiPriority w:val="99"/>
    <w:semiHidden/>
    <w:unhideWhenUsed/>
    <w:rsid w:val="003B1EAE"/>
  </w:style>
  <w:style w:type="paragraph" w:styleId="Revize">
    <w:name w:val="Revision"/>
    <w:hidden/>
    <w:uiPriority w:val="99"/>
    <w:semiHidden/>
    <w:rsid w:val="00B364BB"/>
  </w:style>
  <w:style w:type="table" w:styleId="Mkatabulky">
    <w:name w:val="Table Grid"/>
    <w:basedOn w:val="Normlntabulka"/>
    <w:uiPriority w:val="59"/>
    <w:rsid w:val="006B1ABD"/>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3MUZkonParagrafNzev">
    <w:name w:val="W3MU: Zákon Paragraf Název"/>
    <w:basedOn w:val="Normln"/>
    <w:next w:val="Normln"/>
    <w:rsid w:val="006B7F23"/>
    <w:pPr>
      <w:keepNext/>
      <w:spacing w:before="60" w:after="60"/>
      <w:jc w:val="center"/>
      <w:outlineLvl w:val="0"/>
    </w:pPr>
    <w:rPr>
      <w:rFonts w:ascii="Arial" w:eastAsia="Calibri" w:hAnsi="Arial" w:cs="Times New Roman"/>
      <w:b/>
      <w:color w:val="808080"/>
      <w:szCs w:val="20"/>
      <w:lang w:val="cs-CZ" w:eastAsia="cs-CZ"/>
    </w:rPr>
  </w:style>
  <w:style w:type="paragraph" w:customStyle="1" w:styleId="W3MUZkonOdstavecslovan">
    <w:name w:val="W3MU: Zákon Odstavec Číslovaný"/>
    <w:basedOn w:val="Normln"/>
    <w:uiPriority w:val="99"/>
    <w:rsid w:val="006B7F23"/>
    <w:pPr>
      <w:spacing w:after="120"/>
      <w:outlineLvl w:val="1"/>
    </w:pPr>
    <w:rPr>
      <w:rFonts w:ascii="Verdana" w:eastAsia="Calibri" w:hAnsi="Verdana" w:cs="Times New Roman"/>
      <w:sz w:val="20"/>
      <w:lang w:val="cs-CZ" w:eastAsia="cs-CZ"/>
    </w:rPr>
  </w:style>
  <w:style w:type="character" w:styleId="Siln">
    <w:name w:val="Strong"/>
    <w:basedOn w:val="Standardnpsmoodstavce"/>
    <w:uiPriority w:val="22"/>
    <w:qFormat/>
    <w:rsid w:val="006B7F23"/>
    <w:rPr>
      <w:b/>
      <w:bCs/>
    </w:rPr>
  </w:style>
  <w:style w:type="paragraph" w:styleId="Textpoznpodarou">
    <w:name w:val="footnote text"/>
    <w:basedOn w:val="Normln"/>
    <w:link w:val="TextpoznpodarouChar"/>
    <w:uiPriority w:val="99"/>
    <w:unhideWhenUsed/>
    <w:qFormat/>
    <w:rsid w:val="00E12016"/>
    <w:rPr>
      <w:sz w:val="20"/>
      <w:szCs w:val="20"/>
    </w:rPr>
  </w:style>
  <w:style w:type="character" w:customStyle="1" w:styleId="TextpoznpodarouChar">
    <w:name w:val="Text pozn. pod čarou Char"/>
    <w:basedOn w:val="Standardnpsmoodstavce"/>
    <w:link w:val="Textpoznpodarou"/>
    <w:uiPriority w:val="99"/>
    <w:rsid w:val="00E12016"/>
    <w:rPr>
      <w:sz w:val="20"/>
      <w:szCs w:val="20"/>
    </w:rPr>
  </w:style>
  <w:style w:type="character" w:styleId="Znakapoznpodarou">
    <w:name w:val="footnote reference"/>
    <w:basedOn w:val="Standardnpsmoodstavce"/>
    <w:uiPriority w:val="99"/>
    <w:unhideWhenUsed/>
    <w:rsid w:val="00E12016"/>
    <w:rPr>
      <w:vertAlign w:val="superscript"/>
    </w:rPr>
  </w:style>
  <w:style w:type="paragraph" w:styleId="Zhlav">
    <w:name w:val="header"/>
    <w:basedOn w:val="Normln"/>
    <w:link w:val="ZhlavChar"/>
    <w:uiPriority w:val="99"/>
    <w:unhideWhenUsed/>
    <w:rsid w:val="00F106FF"/>
    <w:pPr>
      <w:tabs>
        <w:tab w:val="center" w:pos="4536"/>
        <w:tab w:val="right" w:pos="9072"/>
      </w:tabs>
    </w:pPr>
  </w:style>
  <w:style w:type="character" w:customStyle="1" w:styleId="ZhlavChar">
    <w:name w:val="Záhlaví Char"/>
    <w:basedOn w:val="Standardnpsmoodstavce"/>
    <w:link w:val="Zhlav"/>
    <w:uiPriority w:val="99"/>
    <w:rsid w:val="00F106FF"/>
  </w:style>
  <w:style w:type="paragraph" w:styleId="Normlnweb">
    <w:name w:val="Normal (Web)"/>
    <w:basedOn w:val="Normln"/>
    <w:uiPriority w:val="99"/>
    <w:rsid w:val="006152B4"/>
    <w:pPr>
      <w:spacing w:before="100" w:beforeAutospacing="1" w:after="100" w:afterAutospacing="1"/>
    </w:pPr>
    <w:rPr>
      <w:rFonts w:ascii="Times New Roman" w:eastAsiaTheme="minorEastAsia" w:hAnsi="Times New Roman" w:cs="Times New Roman"/>
      <w:lang w:val="cs-CZ" w:eastAsia="cs-CZ"/>
    </w:rPr>
  </w:style>
  <w:style w:type="paragraph" w:customStyle="1" w:styleId="Default">
    <w:name w:val="Default"/>
    <w:rsid w:val="003633B2"/>
    <w:pPr>
      <w:autoSpaceDE w:val="0"/>
      <w:autoSpaceDN w:val="0"/>
      <w:adjustRightInd w:val="0"/>
    </w:pPr>
    <w:rPr>
      <w:rFonts w:ascii="Open Sans" w:hAnsi="Open Sans" w:cs="Open Sans"/>
      <w:color w:val="000000"/>
      <w:lang w:val="cs-CZ"/>
    </w:rPr>
  </w:style>
  <w:style w:type="character" w:customStyle="1" w:styleId="Nadpis2Char">
    <w:name w:val="Nadpis 2 Char"/>
    <w:basedOn w:val="Standardnpsmoodstavce"/>
    <w:link w:val="Nadpis2"/>
    <w:uiPriority w:val="9"/>
    <w:rsid w:val="00E14A1A"/>
    <w:rPr>
      <w:rFonts w:asciiTheme="majorHAnsi" w:eastAsiaTheme="majorEastAsia" w:hAnsiTheme="majorHAnsi" w:cstheme="majorBidi"/>
      <w:b/>
      <w:bCs/>
      <w:sz w:val="28"/>
      <w:szCs w:val="26"/>
      <w:lang w:val="cs-CZ"/>
    </w:rPr>
  </w:style>
  <w:style w:type="character" w:customStyle="1" w:styleId="Nadpis1Char">
    <w:name w:val="Nadpis 1 Char"/>
    <w:basedOn w:val="Standardnpsmoodstavce"/>
    <w:link w:val="Nadpis1"/>
    <w:uiPriority w:val="9"/>
    <w:rsid w:val="00E14A1A"/>
    <w:rPr>
      <w:rFonts w:asciiTheme="majorHAnsi" w:eastAsiaTheme="majorEastAsia" w:hAnsiTheme="majorHAnsi" w:cstheme="majorBidi"/>
      <w:b/>
      <w:sz w:val="32"/>
      <w:szCs w:val="32"/>
    </w:rPr>
  </w:style>
  <w:style w:type="character" w:customStyle="1" w:styleId="Nadpis3Char">
    <w:name w:val="Nadpis 3 Char"/>
    <w:basedOn w:val="Standardnpsmoodstavce"/>
    <w:link w:val="Nadpis3"/>
    <w:uiPriority w:val="9"/>
    <w:rsid w:val="00CA1F26"/>
    <w:rPr>
      <w:rFonts w:eastAsiaTheme="majorEastAsia" w:cstheme="majorBidi"/>
      <w:b/>
      <w:color w:val="808080" w:themeColor="background1" w:themeShade="80"/>
    </w:rPr>
  </w:style>
  <w:style w:type="character" w:customStyle="1" w:styleId="Nadpis4Char">
    <w:name w:val="Nadpis 4 Char"/>
    <w:basedOn w:val="Standardnpsmoodstavce"/>
    <w:link w:val="Nadpis4"/>
    <w:uiPriority w:val="9"/>
    <w:rsid w:val="00925E05"/>
    <w:rPr>
      <w:rFonts w:asciiTheme="majorHAnsi" w:eastAsiaTheme="majorEastAsia" w:hAnsiTheme="majorHAnsi" w:cstheme="majorBidi"/>
      <w:i/>
      <w:iCs/>
      <w:sz w:val="22"/>
      <w:szCs w:val="22"/>
    </w:rPr>
  </w:style>
  <w:style w:type="character" w:customStyle="1" w:styleId="Nadpis5Char">
    <w:name w:val="Nadpis 5 Char"/>
    <w:basedOn w:val="Standardnpsmoodstavce"/>
    <w:link w:val="Nadpis5"/>
    <w:uiPriority w:val="9"/>
    <w:semiHidden/>
    <w:rsid w:val="00925E05"/>
    <w:rPr>
      <w:rFonts w:asciiTheme="majorHAnsi" w:eastAsiaTheme="majorEastAsia" w:hAnsiTheme="majorHAnsi" w:cstheme="majorBidi"/>
      <w:color w:val="2F5496" w:themeColor="accent1" w:themeShade="BF"/>
      <w:sz w:val="22"/>
      <w:szCs w:val="22"/>
    </w:rPr>
  </w:style>
  <w:style w:type="character" w:customStyle="1" w:styleId="Nadpis6Char">
    <w:name w:val="Nadpis 6 Char"/>
    <w:basedOn w:val="Standardnpsmoodstavce"/>
    <w:link w:val="Nadpis6"/>
    <w:uiPriority w:val="9"/>
    <w:semiHidden/>
    <w:rsid w:val="00925E05"/>
    <w:rPr>
      <w:rFonts w:asciiTheme="majorHAnsi" w:eastAsiaTheme="majorEastAsia" w:hAnsiTheme="majorHAnsi" w:cstheme="majorBidi"/>
      <w:color w:val="1F3763" w:themeColor="accent1" w:themeShade="7F"/>
      <w:sz w:val="22"/>
      <w:szCs w:val="22"/>
    </w:rPr>
  </w:style>
  <w:style w:type="character" w:customStyle="1" w:styleId="Nadpis7Char">
    <w:name w:val="Nadpis 7 Char"/>
    <w:basedOn w:val="Standardnpsmoodstavce"/>
    <w:link w:val="Nadpis7"/>
    <w:uiPriority w:val="9"/>
    <w:semiHidden/>
    <w:rsid w:val="00925E05"/>
    <w:rPr>
      <w:rFonts w:asciiTheme="majorHAnsi" w:eastAsiaTheme="majorEastAsia" w:hAnsiTheme="majorHAnsi" w:cstheme="majorBidi"/>
      <w:i/>
      <w:iCs/>
      <w:color w:val="1F3763" w:themeColor="accent1" w:themeShade="7F"/>
      <w:sz w:val="22"/>
      <w:szCs w:val="22"/>
    </w:rPr>
  </w:style>
  <w:style w:type="character" w:customStyle="1" w:styleId="Nadpis8Char">
    <w:name w:val="Nadpis 8 Char"/>
    <w:basedOn w:val="Standardnpsmoodstavce"/>
    <w:link w:val="Nadpis8"/>
    <w:uiPriority w:val="9"/>
    <w:semiHidden/>
    <w:rsid w:val="00925E0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25E05"/>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F8692C"/>
    <w:pPr>
      <w:spacing w:line="259" w:lineRule="auto"/>
      <w:outlineLvl w:val="9"/>
    </w:pPr>
    <w:rPr>
      <w:lang w:val="cs-CZ" w:eastAsia="cs-CZ"/>
    </w:rPr>
  </w:style>
  <w:style w:type="paragraph" w:styleId="Obsah1">
    <w:name w:val="toc 1"/>
    <w:basedOn w:val="Normln"/>
    <w:next w:val="Normln"/>
    <w:autoRedefine/>
    <w:uiPriority w:val="39"/>
    <w:unhideWhenUsed/>
    <w:rsid w:val="00F8692C"/>
    <w:pPr>
      <w:spacing w:after="100"/>
    </w:pPr>
  </w:style>
  <w:style w:type="paragraph" w:styleId="Obsah2">
    <w:name w:val="toc 2"/>
    <w:basedOn w:val="Normln"/>
    <w:next w:val="Normln"/>
    <w:autoRedefine/>
    <w:uiPriority w:val="39"/>
    <w:unhideWhenUsed/>
    <w:rsid w:val="00F8692C"/>
    <w:pPr>
      <w:spacing w:after="100"/>
      <w:ind w:left="240"/>
    </w:pPr>
  </w:style>
  <w:style w:type="character" w:styleId="Hypertextovodkaz">
    <w:name w:val="Hyperlink"/>
    <w:basedOn w:val="Standardnpsmoodstavce"/>
    <w:uiPriority w:val="99"/>
    <w:unhideWhenUsed/>
    <w:rsid w:val="00F8692C"/>
    <w:rPr>
      <w:color w:val="0563C1" w:themeColor="hyperlink"/>
      <w:u w:val="single"/>
    </w:rPr>
  </w:style>
  <w:style w:type="paragraph" w:styleId="Obsah3">
    <w:name w:val="toc 3"/>
    <w:basedOn w:val="Normln"/>
    <w:next w:val="Normln"/>
    <w:autoRedefine/>
    <w:uiPriority w:val="39"/>
    <w:unhideWhenUsed/>
    <w:rsid w:val="00CA1F26"/>
    <w:pPr>
      <w:spacing w:after="100"/>
      <w:ind w:left="480"/>
    </w:pPr>
  </w:style>
  <w:style w:type="character" w:styleId="Sledovanodkaz">
    <w:name w:val="FollowedHyperlink"/>
    <w:basedOn w:val="Standardnpsmoodstavce"/>
    <w:uiPriority w:val="99"/>
    <w:semiHidden/>
    <w:unhideWhenUsed/>
    <w:rsid w:val="00B51DBB"/>
    <w:rPr>
      <w:color w:val="954F72" w:themeColor="followedHyperlink"/>
      <w:u w:val="single"/>
    </w:rPr>
  </w:style>
  <w:style w:type="numbering" w:customStyle="1" w:styleId="Bezseznamu1">
    <w:name w:val="Bez seznamu1"/>
    <w:next w:val="Bezseznamu"/>
    <w:uiPriority w:val="99"/>
    <w:semiHidden/>
    <w:unhideWhenUsed/>
    <w:rsid w:val="00321C0C"/>
  </w:style>
  <w:style w:type="table" w:customStyle="1" w:styleId="Mkatabulky1">
    <w:name w:val="Mřížka tabulky1"/>
    <w:basedOn w:val="Normlntabulka"/>
    <w:next w:val="Mkatabulky"/>
    <w:uiPriority w:val="39"/>
    <w:rsid w:val="00321C0C"/>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aern">
    <w:name w:val="tečka černá"/>
    <w:basedOn w:val="Normln"/>
    <w:rsid w:val="00321C0C"/>
    <w:pPr>
      <w:numPr>
        <w:numId w:val="3"/>
      </w:numPr>
      <w:overflowPunct w:val="0"/>
      <w:autoSpaceDE w:val="0"/>
      <w:autoSpaceDN w:val="0"/>
      <w:adjustRightInd w:val="0"/>
      <w:jc w:val="both"/>
      <w:textAlignment w:val="baseline"/>
    </w:pPr>
    <w:rPr>
      <w:rFonts w:ascii="Times New Roman" w:eastAsia="Times New Roman" w:hAnsi="Times New Roman" w:cs="Times New Roman"/>
      <w:sz w:val="20"/>
      <w:szCs w:val="20"/>
      <w:lang w:val="cs-CZ" w:eastAsia="cs-CZ"/>
    </w:rPr>
  </w:style>
  <w:style w:type="character" w:styleId="Zdraznn">
    <w:name w:val="Emphasis"/>
    <w:basedOn w:val="Standardnpsmoodstavce"/>
    <w:uiPriority w:val="20"/>
    <w:qFormat/>
    <w:rsid w:val="00321C0C"/>
    <w:rPr>
      <w:i/>
      <w:iCs/>
    </w:rPr>
  </w:style>
  <w:style w:type="character" w:customStyle="1" w:styleId="W3MUZvraznntextkurzva">
    <w:name w:val="W3MU: Zvýrazněný text (kurzíva)"/>
    <w:rsid w:val="00321C0C"/>
    <w:rPr>
      <w:rFonts w:ascii="Verdana" w:hAnsi="Verdana"/>
      <w:i/>
      <w:sz w:val="20"/>
    </w:rPr>
  </w:style>
  <w:style w:type="paragraph" w:styleId="Seznamsodrkami">
    <w:name w:val="List Bullet"/>
    <w:basedOn w:val="Normln"/>
    <w:uiPriority w:val="99"/>
    <w:rsid w:val="00321C0C"/>
    <w:pPr>
      <w:numPr>
        <w:numId w:val="4"/>
      </w:numPr>
      <w:spacing w:after="200" w:line="276" w:lineRule="auto"/>
      <w:contextualSpacing/>
    </w:pPr>
    <w:rPr>
      <w:rFonts w:ascii="Calibri" w:eastAsia="Times New Roman" w:hAnsi="Calibri" w:cs="Times New Roman"/>
      <w:sz w:val="22"/>
      <w:szCs w:val="22"/>
      <w:lang w:val="cs-CZ" w:eastAsia="cs-CZ"/>
    </w:rPr>
  </w:style>
  <w:style w:type="paragraph" w:styleId="Nzev">
    <w:name w:val="Title"/>
    <w:basedOn w:val="W3MUZkonOdstavecslovan"/>
    <w:next w:val="Normln"/>
    <w:link w:val="NzevChar"/>
    <w:uiPriority w:val="10"/>
    <w:qFormat/>
    <w:rsid w:val="00321C0C"/>
    <w:pPr>
      <w:jc w:val="both"/>
    </w:pPr>
    <w:rPr>
      <w:rFonts w:asciiTheme="minorHAnsi" w:hAnsiTheme="minorHAnsi" w:cstheme="minorHAnsi"/>
      <w:sz w:val="22"/>
      <w:szCs w:val="22"/>
    </w:rPr>
  </w:style>
  <w:style w:type="character" w:customStyle="1" w:styleId="NzevChar">
    <w:name w:val="Název Char"/>
    <w:basedOn w:val="Standardnpsmoodstavce"/>
    <w:link w:val="Nzev"/>
    <w:uiPriority w:val="10"/>
    <w:rsid w:val="00321C0C"/>
    <w:rPr>
      <w:rFonts w:eastAsia="Calibri" w:cstheme="minorHAnsi"/>
      <w:sz w:val="22"/>
      <w:szCs w:val="22"/>
      <w:lang w:val="cs-CZ" w:eastAsia="cs-CZ"/>
    </w:rPr>
  </w:style>
  <w:style w:type="paragraph" w:customStyle="1" w:styleId="Styl123">
    <w:name w:val="Styl123"/>
    <w:basedOn w:val="Nzev"/>
    <w:link w:val="Styl123Char"/>
    <w:qFormat/>
    <w:rsid w:val="00321C0C"/>
  </w:style>
  <w:style w:type="character" w:customStyle="1" w:styleId="Styl123Char">
    <w:name w:val="Styl123 Char"/>
    <w:basedOn w:val="NzevChar"/>
    <w:link w:val="Styl123"/>
    <w:rsid w:val="00321C0C"/>
    <w:rPr>
      <w:rFonts w:eastAsia="Calibri" w:cstheme="minorHAnsi"/>
      <w:sz w:val="22"/>
      <w:szCs w:val="22"/>
      <w:lang w:val="cs-CZ" w:eastAsia="cs-CZ"/>
    </w:rPr>
  </w:style>
  <w:style w:type="numbering" w:customStyle="1" w:styleId="Bezseznamu2">
    <w:name w:val="Bez seznamu2"/>
    <w:next w:val="Bezseznamu"/>
    <w:uiPriority w:val="99"/>
    <w:semiHidden/>
    <w:unhideWhenUsed/>
    <w:rsid w:val="00321C0C"/>
  </w:style>
  <w:style w:type="table" w:customStyle="1" w:styleId="Mkatabulky2">
    <w:name w:val="Mřížka tabulky2"/>
    <w:basedOn w:val="Normlntabulka"/>
    <w:next w:val="Mkatabulky"/>
    <w:uiPriority w:val="39"/>
    <w:rsid w:val="00321C0C"/>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4727">
      <w:bodyDiv w:val="1"/>
      <w:marLeft w:val="0"/>
      <w:marRight w:val="0"/>
      <w:marTop w:val="0"/>
      <w:marBottom w:val="0"/>
      <w:divBdr>
        <w:top w:val="none" w:sz="0" w:space="0" w:color="auto"/>
        <w:left w:val="none" w:sz="0" w:space="0" w:color="auto"/>
        <w:bottom w:val="none" w:sz="0" w:space="0" w:color="auto"/>
        <w:right w:val="none" w:sz="0" w:space="0" w:color="auto"/>
      </w:divBdr>
    </w:div>
    <w:div w:id="1265767449">
      <w:bodyDiv w:val="1"/>
      <w:marLeft w:val="0"/>
      <w:marRight w:val="0"/>
      <w:marTop w:val="0"/>
      <w:marBottom w:val="0"/>
      <w:divBdr>
        <w:top w:val="none" w:sz="0" w:space="0" w:color="auto"/>
        <w:left w:val="none" w:sz="0" w:space="0" w:color="auto"/>
        <w:bottom w:val="none" w:sz="0" w:space="0" w:color="auto"/>
        <w:right w:val="none" w:sz="0" w:space="0" w:color="auto"/>
      </w:divBdr>
    </w:div>
    <w:div w:id="144896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36575-90EB-4372-BE24-A634B15DB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4322</Words>
  <Characters>25505</Characters>
  <Application>Microsoft Office Word</Application>
  <DocSecurity>0</DocSecurity>
  <Lines>212</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Dvořák</dc:creator>
  <cp:keywords/>
  <dc:description/>
  <cp:lastModifiedBy>Říhová Jana</cp:lastModifiedBy>
  <cp:revision>3</cp:revision>
  <cp:lastPrinted>2019-08-01T06:33:00Z</cp:lastPrinted>
  <dcterms:created xsi:type="dcterms:W3CDTF">2019-09-02T11:16:00Z</dcterms:created>
  <dcterms:modified xsi:type="dcterms:W3CDTF">2019-09-02T11:16:00Z</dcterms:modified>
</cp:coreProperties>
</file>