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FC47E95" w14:textId="77777777" w:rsidR="005947C0" w:rsidRPr="00B94A39" w:rsidRDefault="005947C0">
      <w:pPr>
        <w:spacing w:line="0" w:lineRule="atLeast"/>
        <w:ind w:left="7900"/>
        <w:rPr>
          <w:rFonts w:ascii="Times New Roman" w:eastAsia="Times New Roman" w:hAnsi="Times New Roman"/>
          <w:b/>
          <w:sz w:val="24"/>
          <w:lang w:val="cs-CZ"/>
        </w:rPr>
      </w:pPr>
      <w:bookmarkStart w:id="0" w:name="page1"/>
      <w:bookmarkEnd w:id="0"/>
      <w:r w:rsidRPr="00B94A39">
        <w:rPr>
          <w:rFonts w:ascii="Times New Roman" w:eastAsia="Times New Roman" w:hAnsi="Times New Roman"/>
          <w:b/>
          <w:sz w:val="24"/>
          <w:lang w:val="cs-CZ"/>
        </w:rPr>
        <w:t>Příloha č. 1</w:t>
      </w:r>
    </w:p>
    <w:p w14:paraId="0038D3D4" w14:textId="77777777" w:rsidR="005947C0" w:rsidRPr="00B94A39" w:rsidRDefault="005947C0">
      <w:pPr>
        <w:spacing w:line="256" w:lineRule="exact"/>
        <w:rPr>
          <w:rFonts w:ascii="Times New Roman" w:eastAsia="Times New Roman" w:hAnsi="Times New Roman"/>
          <w:sz w:val="24"/>
          <w:lang w:val="cs-CZ"/>
        </w:rPr>
      </w:pPr>
    </w:p>
    <w:p w14:paraId="1F231A40" w14:textId="77777777" w:rsidR="005947C0" w:rsidRPr="00B94A39" w:rsidRDefault="005947C0">
      <w:pPr>
        <w:spacing w:line="235" w:lineRule="auto"/>
        <w:jc w:val="center"/>
        <w:rPr>
          <w:rFonts w:ascii="Times New Roman" w:eastAsia="Times New Roman" w:hAnsi="Times New Roman"/>
          <w:b/>
          <w:sz w:val="28"/>
          <w:lang w:val="cs-CZ"/>
        </w:rPr>
      </w:pPr>
      <w:r w:rsidRPr="00B94A39">
        <w:rPr>
          <w:rFonts w:ascii="Times New Roman" w:eastAsia="Times New Roman" w:hAnsi="Times New Roman"/>
          <w:b/>
          <w:sz w:val="28"/>
          <w:lang w:val="cs-CZ"/>
        </w:rPr>
        <w:t>Vysoká škola technická a ekonomická v Českých Budějovicích Okružní 10, 370 01 České Budějovice</w:t>
      </w:r>
    </w:p>
    <w:p w14:paraId="20B2BF80" w14:textId="42E4B328" w:rsidR="005947C0" w:rsidRPr="00B94A39" w:rsidRDefault="002A64FC">
      <w:pPr>
        <w:spacing w:line="20" w:lineRule="exact"/>
        <w:rPr>
          <w:rFonts w:ascii="Times New Roman" w:eastAsia="Times New Roman" w:hAnsi="Times New Roman"/>
          <w:sz w:val="24"/>
          <w:lang w:val="cs-CZ"/>
        </w:rPr>
      </w:pPr>
      <w:r w:rsidRPr="00B94A39">
        <w:rPr>
          <w:rFonts w:ascii="Times New Roman" w:eastAsia="Times New Roman" w:hAnsi="Times New Roman"/>
          <w:b/>
          <w:noProof/>
          <w:sz w:val="28"/>
          <w:lang w:val="cs-CZ"/>
        </w:rPr>
        <w:drawing>
          <wp:anchor distT="0" distB="0" distL="114300" distR="114300" simplePos="0" relativeHeight="251657216" behindDoc="1" locked="0" layoutInCell="1" allowOverlap="1" wp14:anchorId="7DC2CB63" wp14:editId="0764D8FA">
            <wp:simplePos x="0" y="0"/>
            <wp:positionH relativeFrom="column">
              <wp:posOffset>1905000</wp:posOffset>
            </wp:positionH>
            <wp:positionV relativeFrom="paragraph">
              <wp:posOffset>294005</wp:posOffset>
            </wp:positionV>
            <wp:extent cx="2233295" cy="226314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295" cy="2263140"/>
                    </a:xfrm>
                    <a:prstGeom prst="rect">
                      <a:avLst/>
                    </a:prstGeom>
                    <a:noFill/>
                  </pic:spPr>
                </pic:pic>
              </a:graphicData>
            </a:graphic>
            <wp14:sizeRelH relativeFrom="page">
              <wp14:pctWidth>0</wp14:pctWidth>
            </wp14:sizeRelH>
            <wp14:sizeRelV relativeFrom="page">
              <wp14:pctHeight>0</wp14:pctHeight>
            </wp14:sizeRelV>
          </wp:anchor>
        </w:drawing>
      </w:r>
    </w:p>
    <w:p w14:paraId="046966D9" w14:textId="77777777" w:rsidR="005947C0" w:rsidRPr="00B94A39" w:rsidRDefault="005947C0">
      <w:pPr>
        <w:spacing w:line="200" w:lineRule="exact"/>
        <w:rPr>
          <w:rFonts w:ascii="Times New Roman" w:eastAsia="Times New Roman" w:hAnsi="Times New Roman"/>
          <w:sz w:val="24"/>
          <w:lang w:val="cs-CZ"/>
        </w:rPr>
      </w:pPr>
    </w:p>
    <w:p w14:paraId="5A9B4209" w14:textId="77777777" w:rsidR="005947C0" w:rsidRPr="00B94A39" w:rsidRDefault="005947C0">
      <w:pPr>
        <w:spacing w:line="200" w:lineRule="exact"/>
        <w:rPr>
          <w:rFonts w:ascii="Times New Roman" w:eastAsia="Times New Roman" w:hAnsi="Times New Roman"/>
          <w:sz w:val="24"/>
          <w:lang w:val="cs-CZ"/>
        </w:rPr>
      </w:pPr>
    </w:p>
    <w:p w14:paraId="11413DBF" w14:textId="77777777" w:rsidR="005947C0" w:rsidRPr="00B94A39" w:rsidRDefault="005947C0">
      <w:pPr>
        <w:spacing w:line="200" w:lineRule="exact"/>
        <w:rPr>
          <w:rFonts w:ascii="Times New Roman" w:eastAsia="Times New Roman" w:hAnsi="Times New Roman"/>
          <w:sz w:val="24"/>
          <w:lang w:val="cs-CZ"/>
        </w:rPr>
      </w:pPr>
    </w:p>
    <w:p w14:paraId="0EEA8023" w14:textId="77777777" w:rsidR="005947C0" w:rsidRPr="00B94A39" w:rsidRDefault="005947C0">
      <w:pPr>
        <w:spacing w:line="200" w:lineRule="exact"/>
        <w:rPr>
          <w:rFonts w:ascii="Times New Roman" w:eastAsia="Times New Roman" w:hAnsi="Times New Roman"/>
          <w:sz w:val="24"/>
          <w:lang w:val="cs-CZ"/>
        </w:rPr>
      </w:pPr>
    </w:p>
    <w:p w14:paraId="55427796" w14:textId="77777777" w:rsidR="005947C0" w:rsidRPr="00B94A39" w:rsidRDefault="005947C0">
      <w:pPr>
        <w:spacing w:line="200" w:lineRule="exact"/>
        <w:rPr>
          <w:rFonts w:ascii="Times New Roman" w:eastAsia="Times New Roman" w:hAnsi="Times New Roman"/>
          <w:sz w:val="24"/>
          <w:lang w:val="cs-CZ"/>
        </w:rPr>
      </w:pPr>
    </w:p>
    <w:p w14:paraId="71F28A29" w14:textId="77777777" w:rsidR="005947C0" w:rsidRPr="00B94A39" w:rsidRDefault="005947C0">
      <w:pPr>
        <w:spacing w:line="200" w:lineRule="exact"/>
        <w:rPr>
          <w:rFonts w:ascii="Times New Roman" w:eastAsia="Times New Roman" w:hAnsi="Times New Roman"/>
          <w:sz w:val="24"/>
          <w:lang w:val="cs-CZ"/>
        </w:rPr>
      </w:pPr>
    </w:p>
    <w:p w14:paraId="00AB2A7A" w14:textId="77777777" w:rsidR="005947C0" w:rsidRPr="00B94A39" w:rsidRDefault="005947C0">
      <w:pPr>
        <w:spacing w:line="200" w:lineRule="exact"/>
        <w:rPr>
          <w:rFonts w:ascii="Times New Roman" w:eastAsia="Times New Roman" w:hAnsi="Times New Roman"/>
          <w:sz w:val="24"/>
          <w:lang w:val="cs-CZ"/>
        </w:rPr>
      </w:pPr>
    </w:p>
    <w:p w14:paraId="41894D3B" w14:textId="77777777" w:rsidR="005947C0" w:rsidRPr="00B94A39" w:rsidRDefault="005947C0">
      <w:pPr>
        <w:spacing w:line="200" w:lineRule="exact"/>
        <w:rPr>
          <w:rFonts w:ascii="Times New Roman" w:eastAsia="Times New Roman" w:hAnsi="Times New Roman"/>
          <w:sz w:val="24"/>
          <w:lang w:val="cs-CZ"/>
        </w:rPr>
      </w:pPr>
    </w:p>
    <w:p w14:paraId="4B64B224" w14:textId="77777777" w:rsidR="005947C0" w:rsidRPr="00B94A39" w:rsidRDefault="005947C0">
      <w:pPr>
        <w:spacing w:line="200" w:lineRule="exact"/>
        <w:rPr>
          <w:rFonts w:ascii="Times New Roman" w:eastAsia="Times New Roman" w:hAnsi="Times New Roman"/>
          <w:sz w:val="24"/>
          <w:lang w:val="cs-CZ"/>
        </w:rPr>
      </w:pPr>
    </w:p>
    <w:p w14:paraId="7112EEFC" w14:textId="77777777" w:rsidR="005947C0" w:rsidRPr="00B94A39" w:rsidRDefault="005947C0">
      <w:pPr>
        <w:spacing w:line="200" w:lineRule="exact"/>
        <w:rPr>
          <w:rFonts w:ascii="Times New Roman" w:eastAsia="Times New Roman" w:hAnsi="Times New Roman"/>
          <w:sz w:val="24"/>
          <w:lang w:val="cs-CZ"/>
        </w:rPr>
      </w:pPr>
    </w:p>
    <w:p w14:paraId="7E672690" w14:textId="77777777" w:rsidR="005947C0" w:rsidRPr="00B94A39" w:rsidRDefault="005947C0">
      <w:pPr>
        <w:spacing w:line="200" w:lineRule="exact"/>
        <w:rPr>
          <w:rFonts w:ascii="Times New Roman" w:eastAsia="Times New Roman" w:hAnsi="Times New Roman"/>
          <w:sz w:val="24"/>
          <w:lang w:val="cs-CZ"/>
        </w:rPr>
      </w:pPr>
    </w:p>
    <w:p w14:paraId="563F6D9A" w14:textId="77777777" w:rsidR="005947C0" w:rsidRPr="00B94A39" w:rsidRDefault="005947C0">
      <w:pPr>
        <w:spacing w:line="200" w:lineRule="exact"/>
        <w:rPr>
          <w:rFonts w:ascii="Times New Roman" w:eastAsia="Times New Roman" w:hAnsi="Times New Roman"/>
          <w:sz w:val="24"/>
          <w:lang w:val="cs-CZ"/>
        </w:rPr>
      </w:pPr>
    </w:p>
    <w:p w14:paraId="5A5CA08F" w14:textId="77777777" w:rsidR="005947C0" w:rsidRPr="00B94A39" w:rsidRDefault="005947C0">
      <w:pPr>
        <w:spacing w:line="200" w:lineRule="exact"/>
        <w:rPr>
          <w:rFonts w:ascii="Times New Roman" w:eastAsia="Times New Roman" w:hAnsi="Times New Roman"/>
          <w:sz w:val="24"/>
          <w:lang w:val="cs-CZ"/>
        </w:rPr>
      </w:pPr>
    </w:p>
    <w:p w14:paraId="2E887234" w14:textId="77777777" w:rsidR="005947C0" w:rsidRPr="00B94A39" w:rsidRDefault="005947C0">
      <w:pPr>
        <w:spacing w:line="200" w:lineRule="exact"/>
        <w:rPr>
          <w:rFonts w:ascii="Times New Roman" w:eastAsia="Times New Roman" w:hAnsi="Times New Roman"/>
          <w:sz w:val="24"/>
          <w:lang w:val="cs-CZ"/>
        </w:rPr>
      </w:pPr>
    </w:p>
    <w:p w14:paraId="43921014" w14:textId="77777777" w:rsidR="005947C0" w:rsidRPr="00B94A39" w:rsidRDefault="005947C0">
      <w:pPr>
        <w:spacing w:line="200" w:lineRule="exact"/>
        <w:rPr>
          <w:rFonts w:ascii="Times New Roman" w:eastAsia="Times New Roman" w:hAnsi="Times New Roman"/>
          <w:sz w:val="24"/>
          <w:lang w:val="cs-CZ"/>
        </w:rPr>
      </w:pPr>
    </w:p>
    <w:p w14:paraId="557FAB47" w14:textId="77777777" w:rsidR="005947C0" w:rsidRPr="00B94A39" w:rsidRDefault="005947C0">
      <w:pPr>
        <w:spacing w:line="200" w:lineRule="exact"/>
        <w:rPr>
          <w:rFonts w:ascii="Times New Roman" w:eastAsia="Times New Roman" w:hAnsi="Times New Roman"/>
          <w:sz w:val="24"/>
          <w:lang w:val="cs-CZ"/>
        </w:rPr>
      </w:pPr>
    </w:p>
    <w:p w14:paraId="1DDA9EBB" w14:textId="77777777" w:rsidR="005947C0" w:rsidRPr="00B94A39" w:rsidRDefault="005947C0">
      <w:pPr>
        <w:spacing w:line="200" w:lineRule="exact"/>
        <w:rPr>
          <w:rFonts w:ascii="Times New Roman" w:eastAsia="Times New Roman" w:hAnsi="Times New Roman"/>
          <w:sz w:val="24"/>
          <w:lang w:val="cs-CZ"/>
        </w:rPr>
      </w:pPr>
    </w:p>
    <w:p w14:paraId="670840E6" w14:textId="77777777" w:rsidR="005947C0" w:rsidRPr="00B94A39" w:rsidRDefault="005947C0">
      <w:pPr>
        <w:spacing w:line="200" w:lineRule="exact"/>
        <w:rPr>
          <w:rFonts w:ascii="Times New Roman" w:eastAsia="Times New Roman" w:hAnsi="Times New Roman"/>
          <w:sz w:val="24"/>
          <w:lang w:val="cs-CZ"/>
        </w:rPr>
      </w:pPr>
    </w:p>
    <w:p w14:paraId="42AEB702" w14:textId="77777777" w:rsidR="005947C0" w:rsidRPr="00B94A39" w:rsidRDefault="005947C0">
      <w:pPr>
        <w:spacing w:line="200" w:lineRule="exact"/>
        <w:rPr>
          <w:rFonts w:ascii="Times New Roman" w:eastAsia="Times New Roman" w:hAnsi="Times New Roman"/>
          <w:sz w:val="24"/>
          <w:lang w:val="cs-CZ"/>
        </w:rPr>
      </w:pPr>
    </w:p>
    <w:p w14:paraId="43AFA071" w14:textId="77777777" w:rsidR="005947C0" w:rsidRPr="00B94A39" w:rsidRDefault="005947C0">
      <w:pPr>
        <w:spacing w:line="200" w:lineRule="exact"/>
        <w:rPr>
          <w:rFonts w:ascii="Times New Roman" w:eastAsia="Times New Roman" w:hAnsi="Times New Roman"/>
          <w:sz w:val="24"/>
          <w:lang w:val="cs-CZ"/>
        </w:rPr>
      </w:pPr>
    </w:p>
    <w:p w14:paraId="43AAEB4A" w14:textId="77777777" w:rsidR="005947C0" w:rsidRPr="00B94A39" w:rsidRDefault="005947C0">
      <w:pPr>
        <w:spacing w:line="200" w:lineRule="exact"/>
        <w:rPr>
          <w:rFonts w:ascii="Times New Roman" w:eastAsia="Times New Roman" w:hAnsi="Times New Roman"/>
          <w:sz w:val="24"/>
          <w:lang w:val="cs-CZ"/>
        </w:rPr>
      </w:pPr>
    </w:p>
    <w:p w14:paraId="0F11405D" w14:textId="77777777" w:rsidR="005947C0" w:rsidRPr="00B94A39" w:rsidRDefault="005947C0">
      <w:pPr>
        <w:spacing w:line="200" w:lineRule="exact"/>
        <w:rPr>
          <w:rFonts w:ascii="Times New Roman" w:eastAsia="Times New Roman" w:hAnsi="Times New Roman"/>
          <w:sz w:val="24"/>
          <w:lang w:val="cs-CZ"/>
        </w:rPr>
      </w:pPr>
    </w:p>
    <w:p w14:paraId="23DEF865" w14:textId="77777777" w:rsidR="005947C0" w:rsidRPr="00B94A39" w:rsidRDefault="005947C0">
      <w:pPr>
        <w:spacing w:line="200" w:lineRule="exact"/>
        <w:rPr>
          <w:rFonts w:ascii="Times New Roman" w:eastAsia="Times New Roman" w:hAnsi="Times New Roman"/>
          <w:sz w:val="24"/>
          <w:lang w:val="cs-CZ"/>
        </w:rPr>
      </w:pPr>
    </w:p>
    <w:p w14:paraId="3BEBEE8B" w14:textId="77777777" w:rsidR="005947C0" w:rsidRPr="00B94A39" w:rsidRDefault="005947C0">
      <w:pPr>
        <w:spacing w:line="211" w:lineRule="exact"/>
        <w:rPr>
          <w:rFonts w:ascii="Times New Roman" w:eastAsia="Times New Roman" w:hAnsi="Times New Roman"/>
          <w:sz w:val="24"/>
          <w:lang w:val="cs-CZ"/>
        </w:rPr>
      </w:pPr>
    </w:p>
    <w:p w14:paraId="652B18A5" w14:textId="08765E1C" w:rsidR="005947C0" w:rsidRPr="00B94A39" w:rsidRDefault="005947C0">
      <w:pPr>
        <w:spacing w:line="0" w:lineRule="atLeast"/>
        <w:ind w:right="20"/>
        <w:jc w:val="center"/>
        <w:rPr>
          <w:rFonts w:ascii="Times New Roman" w:eastAsia="Times New Roman" w:hAnsi="Times New Roman"/>
          <w:b/>
          <w:sz w:val="32"/>
          <w:lang w:val="cs-CZ"/>
        </w:rPr>
      </w:pPr>
      <w:r w:rsidRPr="00B94A39">
        <w:rPr>
          <w:rFonts w:ascii="Times New Roman" w:eastAsia="Times New Roman" w:hAnsi="Times New Roman"/>
          <w:b/>
          <w:sz w:val="32"/>
          <w:lang w:val="cs-CZ"/>
        </w:rPr>
        <w:t>Závěrečná zpráva o řešení Interního grantu za ro</w:t>
      </w:r>
      <w:r w:rsidR="00763AAD" w:rsidRPr="00B94A39">
        <w:rPr>
          <w:rFonts w:ascii="Times New Roman" w:eastAsia="Times New Roman" w:hAnsi="Times New Roman"/>
          <w:b/>
          <w:sz w:val="32"/>
          <w:lang w:val="cs-CZ"/>
        </w:rPr>
        <w:t>k 20</w:t>
      </w:r>
      <w:r w:rsidR="000A2677">
        <w:rPr>
          <w:rFonts w:ascii="Times New Roman" w:eastAsia="Times New Roman" w:hAnsi="Times New Roman"/>
          <w:b/>
          <w:sz w:val="32"/>
          <w:lang w:val="cs-CZ"/>
        </w:rPr>
        <w:t>20</w:t>
      </w:r>
    </w:p>
    <w:p w14:paraId="415D5D17" w14:textId="77777777" w:rsidR="005947C0" w:rsidRPr="00B94A39" w:rsidRDefault="005947C0">
      <w:pPr>
        <w:spacing w:line="200" w:lineRule="exact"/>
        <w:rPr>
          <w:rFonts w:ascii="Times New Roman" w:eastAsia="Times New Roman" w:hAnsi="Times New Roman"/>
          <w:sz w:val="24"/>
          <w:lang w:val="cs-CZ"/>
        </w:rPr>
      </w:pPr>
    </w:p>
    <w:p w14:paraId="35C90B74" w14:textId="77777777" w:rsidR="005947C0" w:rsidRPr="00B94A39" w:rsidRDefault="005947C0">
      <w:pPr>
        <w:spacing w:line="200" w:lineRule="exact"/>
        <w:rPr>
          <w:rFonts w:ascii="Times New Roman" w:eastAsia="Times New Roman" w:hAnsi="Times New Roman"/>
          <w:sz w:val="24"/>
          <w:lang w:val="cs-CZ"/>
        </w:rPr>
      </w:pPr>
    </w:p>
    <w:p w14:paraId="4FE85558" w14:textId="77777777" w:rsidR="005947C0" w:rsidRPr="00B94A39" w:rsidRDefault="005947C0">
      <w:pPr>
        <w:spacing w:line="200" w:lineRule="exact"/>
        <w:rPr>
          <w:rFonts w:ascii="Times New Roman" w:eastAsia="Times New Roman" w:hAnsi="Times New Roman"/>
          <w:sz w:val="24"/>
          <w:lang w:val="cs-CZ"/>
        </w:rPr>
      </w:pPr>
    </w:p>
    <w:p w14:paraId="1F1EFB4B" w14:textId="77777777" w:rsidR="005947C0" w:rsidRPr="00B94A39" w:rsidRDefault="005947C0">
      <w:pPr>
        <w:spacing w:line="200" w:lineRule="exact"/>
        <w:rPr>
          <w:rFonts w:ascii="Times New Roman" w:eastAsia="Times New Roman" w:hAnsi="Times New Roman"/>
          <w:sz w:val="24"/>
          <w:lang w:val="cs-CZ"/>
        </w:rPr>
      </w:pPr>
    </w:p>
    <w:p w14:paraId="029B3C6C" w14:textId="77777777" w:rsidR="005947C0" w:rsidRPr="00B94A39" w:rsidRDefault="005947C0">
      <w:pPr>
        <w:spacing w:line="283" w:lineRule="exact"/>
        <w:rPr>
          <w:rFonts w:ascii="Times New Roman" w:eastAsia="Times New Roman" w:hAnsi="Times New Roman"/>
          <w:sz w:val="24"/>
          <w:lang w:val="cs-CZ"/>
        </w:rPr>
      </w:pPr>
    </w:p>
    <w:p w14:paraId="1869BC5A" w14:textId="77777777" w:rsidR="005947C0" w:rsidRPr="00B94A39" w:rsidRDefault="005947C0">
      <w:pPr>
        <w:spacing w:line="0" w:lineRule="atLeast"/>
        <w:jc w:val="center"/>
        <w:rPr>
          <w:rFonts w:ascii="Times New Roman" w:eastAsia="Times New Roman" w:hAnsi="Times New Roman"/>
          <w:sz w:val="28"/>
          <w:lang w:val="cs-CZ"/>
        </w:rPr>
      </w:pPr>
      <w:r w:rsidRPr="00B94A39">
        <w:rPr>
          <w:rFonts w:ascii="Times New Roman" w:eastAsia="Times New Roman" w:hAnsi="Times New Roman"/>
          <w:sz w:val="28"/>
          <w:lang w:val="cs-CZ"/>
        </w:rPr>
        <w:t>Název projektu</w:t>
      </w:r>
    </w:p>
    <w:p w14:paraId="2B6B7641" w14:textId="77777777" w:rsidR="005947C0" w:rsidRPr="00B94A39" w:rsidRDefault="005947C0">
      <w:pPr>
        <w:spacing w:line="5" w:lineRule="exact"/>
        <w:rPr>
          <w:rFonts w:ascii="Times New Roman" w:eastAsia="Times New Roman" w:hAnsi="Times New Roman"/>
          <w:sz w:val="24"/>
          <w:lang w:val="cs-CZ"/>
        </w:rPr>
      </w:pPr>
    </w:p>
    <w:p w14:paraId="54A476E0" w14:textId="2FF12941" w:rsidR="005947C0" w:rsidRPr="00B94A39" w:rsidRDefault="000A2677" w:rsidP="00D76A52">
      <w:pPr>
        <w:pStyle w:val="Default"/>
        <w:jc w:val="center"/>
        <w:rPr>
          <w:b/>
          <w:i/>
          <w:sz w:val="32"/>
          <w:szCs w:val="32"/>
        </w:rPr>
      </w:pPr>
      <w:r>
        <w:rPr>
          <w:b/>
          <w:i/>
          <w:sz w:val="32"/>
          <w:szCs w:val="32"/>
        </w:rPr>
        <w:t>Inovace experimentů pro demonstraci učiva CHS Chemie a podpora výzkumné aktivity materiálového centra VŠTE</w:t>
      </w:r>
    </w:p>
    <w:p w14:paraId="4471525B" w14:textId="77777777" w:rsidR="005947C0" w:rsidRPr="00B94A39" w:rsidRDefault="005947C0">
      <w:pPr>
        <w:spacing w:line="200" w:lineRule="exact"/>
        <w:rPr>
          <w:rFonts w:ascii="Times New Roman" w:eastAsia="Times New Roman" w:hAnsi="Times New Roman"/>
          <w:sz w:val="24"/>
          <w:lang w:val="cs-CZ"/>
        </w:rPr>
      </w:pPr>
    </w:p>
    <w:p w14:paraId="2C49DA6A" w14:textId="77777777" w:rsidR="005947C0" w:rsidRPr="00B94A39" w:rsidRDefault="005947C0">
      <w:pPr>
        <w:spacing w:line="200" w:lineRule="exact"/>
        <w:rPr>
          <w:rFonts w:ascii="Times New Roman" w:eastAsia="Times New Roman" w:hAnsi="Times New Roman"/>
          <w:sz w:val="24"/>
          <w:lang w:val="cs-CZ"/>
        </w:rPr>
      </w:pPr>
    </w:p>
    <w:p w14:paraId="284CD8C5" w14:textId="77777777" w:rsidR="005947C0" w:rsidRPr="00B94A39" w:rsidRDefault="005947C0">
      <w:pPr>
        <w:spacing w:line="298" w:lineRule="exact"/>
        <w:rPr>
          <w:rFonts w:ascii="Times New Roman" w:eastAsia="Times New Roman" w:hAnsi="Times New Roman"/>
          <w:sz w:val="24"/>
          <w:lang w:val="cs-CZ"/>
        </w:rPr>
      </w:pPr>
    </w:p>
    <w:p w14:paraId="2724C340" w14:textId="77777777" w:rsidR="005947C0" w:rsidRPr="00B94A39" w:rsidRDefault="005947C0">
      <w:pPr>
        <w:spacing w:line="0" w:lineRule="atLeast"/>
        <w:jc w:val="center"/>
        <w:rPr>
          <w:rFonts w:ascii="Times New Roman" w:eastAsia="Times New Roman" w:hAnsi="Times New Roman"/>
          <w:sz w:val="28"/>
          <w:lang w:val="cs-CZ"/>
        </w:rPr>
      </w:pPr>
      <w:r w:rsidRPr="00B94A39">
        <w:rPr>
          <w:rFonts w:ascii="Times New Roman" w:eastAsia="Times New Roman" w:hAnsi="Times New Roman"/>
          <w:sz w:val="28"/>
          <w:lang w:val="cs-CZ"/>
        </w:rPr>
        <w:t>Číslo projektu</w:t>
      </w:r>
    </w:p>
    <w:p w14:paraId="4863453E" w14:textId="77777777" w:rsidR="005947C0" w:rsidRPr="00B94A39" w:rsidRDefault="005947C0">
      <w:pPr>
        <w:spacing w:line="7" w:lineRule="exact"/>
        <w:rPr>
          <w:rFonts w:ascii="Times New Roman" w:eastAsia="Times New Roman" w:hAnsi="Times New Roman"/>
          <w:sz w:val="24"/>
          <w:lang w:val="cs-CZ"/>
        </w:rPr>
      </w:pPr>
    </w:p>
    <w:p w14:paraId="236430F2" w14:textId="43033339" w:rsidR="005947C0" w:rsidRPr="00B94A39" w:rsidRDefault="00B71047">
      <w:pPr>
        <w:spacing w:line="0" w:lineRule="atLeast"/>
        <w:ind w:right="20"/>
        <w:jc w:val="center"/>
        <w:rPr>
          <w:rFonts w:ascii="Times New Roman" w:eastAsia="Times New Roman" w:hAnsi="Times New Roman"/>
          <w:b/>
          <w:sz w:val="32"/>
          <w:lang w:val="cs-CZ"/>
        </w:rPr>
      </w:pPr>
      <w:r w:rsidRPr="00B94A39">
        <w:rPr>
          <w:rFonts w:ascii="Times New Roman" w:eastAsia="Times New Roman" w:hAnsi="Times New Roman"/>
          <w:b/>
          <w:sz w:val="32"/>
          <w:lang w:val="cs-CZ"/>
        </w:rPr>
        <w:t>8210-0</w:t>
      </w:r>
      <w:r w:rsidR="000A2677">
        <w:rPr>
          <w:rFonts w:ascii="Times New Roman" w:eastAsia="Times New Roman" w:hAnsi="Times New Roman"/>
          <w:b/>
          <w:sz w:val="32"/>
          <w:lang w:val="cs-CZ"/>
        </w:rPr>
        <w:t>13</w:t>
      </w:r>
      <w:r w:rsidR="005947C0" w:rsidRPr="00B94A39">
        <w:rPr>
          <w:rFonts w:ascii="Times New Roman" w:eastAsia="Times New Roman" w:hAnsi="Times New Roman"/>
          <w:b/>
          <w:sz w:val="32"/>
          <w:lang w:val="cs-CZ"/>
        </w:rPr>
        <w:t>/20</w:t>
      </w:r>
      <w:r w:rsidR="000A2677">
        <w:rPr>
          <w:rFonts w:ascii="Times New Roman" w:eastAsia="Times New Roman" w:hAnsi="Times New Roman"/>
          <w:b/>
          <w:sz w:val="32"/>
          <w:lang w:val="cs-CZ"/>
        </w:rPr>
        <w:t>20</w:t>
      </w:r>
    </w:p>
    <w:p w14:paraId="65E37274" w14:textId="77777777" w:rsidR="005947C0" w:rsidRPr="00B94A39" w:rsidRDefault="005947C0">
      <w:pPr>
        <w:spacing w:line="200" w:lineRule="exact"/>
        <w:rPr>
          <w:rFonts w:ascii="Times New Roman" w:eastAsia="Times New Roman" w:hAnsi="Times New Roman"/>
          <w:sz w:val="24"/>
          <w:lang w:val="cs-CZ"/>
        </w:rPr>
      </w:pPr>
    </w:p>
    <w:p w14:paraId="61AAA7DA" w14:textId="77777777" w:rsidR="005947C0" w:rsidRPr="00B94A39" w:rsidRDefault="005947C0">
      <w:pPr>
        <w:spacing w:line="200" w:lineRule="exact"/>
        <w:rPr>
          <w:rFonts w:ascii="Times New Roman" w:eastAsia="Times New Roman" w:hAnsi="Times New Roman"/>
          <w:sz w:val="24"/>
          <w:lang w:val="cs-CZ"/>
        </w:rPr>
      </w:pPr>
    </w:p>
    <w:p w14:paraId="6AF63C9F" w14:textId="77777777" w:rsidR="005947C0" w:rsidRPr="00B94A39" w:rsidRDefault="005947C0">
      <w:pPr>
        <w:spacing w:line="200" w:lineRule="exact"/>
        <w:rPr>
          <w:rFonts w:ascii="Times New Roman" w:eastAsia="Times New Roman" w:hAnsi="Times New Roman"/>
          <w:sz w:val="24"/>
          <w:lang w:val="cs-CZ"/>
        </w:rPr>
      </w:pPr>
    </w:p>
    <w:p w14:paraId="03808538" w14:textId="77777777" w:rsidR="005947C0" w:rsidRPr="00B94A39" w:rsidRDefault="005947C0">
      <w:pPr>
        <w:spacing w:line="288" w:lineRule="exact"/>
        <w:rPr>
          <w:rFonts w:ascii="Times New Roman" w:eastAsia="Times New Roman" w:hAnsi="Times New Roman"/>
          <w:sz w:val="24"/>
          <w:lang w:val="cs-CZ"/>
        </w:rPr>
      </w:pPr>
    </w:p>
    <w:p w14:paraId="748366B8" w14:textId="77777777" w:rsidR="005947C0" w:rsidRPr="00B94A39" w:rsidRDefault="005947C0" w:rsidP="003018BD">
      <w:pPr>
        <w:spacing w:line="0" w:lineRule="atLeast"/>
        <w:jc w:val="center"/>
        <w:rPr>
          <w:rFonts w:ascii="Times New Roman" w:eastAsia="Times New Roman" w:hAnsi="Times New Roman"/>
          <w:b/>
          <w:sz w:val="28"/>
          <w:lang w:val="cs-CZ"/>
        </w:rPr>
      </w:pPr>
      <w:r w:rsidRPr="00B94A39">
        <w:rPr>
          <w:rFonts w:ascii="Times New Roman" w:eastAsia="Times New Roman" w:hAnsi="Times New Roman"/>
          <w:b/>
          <w:sz w:val="28"/>
          <w:lang w:val="cs-CZ"/>
        </w:rPr>
        <w:t>Řešitel:</w:t>
      </w:r>
      <w:r w:rsidR="00D76A52" w:rsidRPr="00B94A39">
        <w:rPr>
          <w:rFonts w:ascii="Times New Roman" w:eastAsia="Times New Roman" w:hAnsi="Times New Roman"/>
          <w:b/>
          <w:sz w:val="28"/>
          <w:lang w:val="cs-CZ"/>
        </w:rPr>
        <w:tab/>
      </w:r>
      <w:r w:rsidR="00D76A52" w:rsidRPr="00B94A39">
        <w:rPr>
          <w:rFonts w:ascii="Times New Roman" w:eastAsia="Times New Roman" w:hAnsi="Times New Roman"/>
          <w:sz w:val="28"/>
          <w:lang w:val="cs-CZ"/>
        </w:rPr>
        <w:t>Ing. Jan Podlesný Ph.D.</w:t>
      </w:r>
    </w:p>
    <w:p w14:paraId="70089594" w14:textId="77777777" w:rsidR="005947C0" w:rsidRPr="00B94A39" w:rsidRDefault="005947C0">
      <w:pPr>
        <w:spacing w:line="200" w:lineRule="exact"/>
        <w:rPr>
          <w:rFonts w:ascii="Times New Roman" w:eastAsia="Times New Roman" w:hAnsi="Times New Roman"/>
          <w:sz w:val="24"/>
          <w:lang w:val="cs-CZ"/>
        </w:rPr>
      </w:pPr>
    </w:p>
    <w:p w14:paraId="145F4EF9" w14:textId="77777777" w:rsidR="005947C0" w:rsidRPr="00B94A39" w:rsidRDefault="005947C0">
      <w:pPr>
        <w:spacing w:line="200" w:lineRule="exact"/>
        <w:rPr>
          <w:rFonts w:ascii="Times New Roman" w:eastAsia="Times New Roman" w:hAnsi="Times New Roman"/>
          <w:sz w:val="24"/>
          <w:lang w:val="cs-CZ"/>
        </w:rPr>
      </w:pPr>
    </w:p>
    <w:p w14:paraId="75018576" w14:textId="77777777" w:rsidR="005947C0" w:rsidRPr="00B94A39" w:rsidRDefault="005947C0">
      <w:pPr>
        <w:spacing w:line="200" w:lineRule="exact"/>
        <w:rPr>
          <w:rFonts w:ascii="Times New Roman" w:eastAsia="Times New Roman" w:hAnsi="Times New Roman"/>
          <w:sz w:val="24"/>
          <w:lang w:val="cs-CZ"/>
        </w:rPr>
      </w:pPr>
    </w:p>
    <w:p w14:paraId="3935DF72" w14:textId="77777777" w:rsidR="005947C0" w:rsidRPr="00B94A39" w:rsidRDefault="005947C0">
      <w:pPr>
        <w:spacing w:line="200" w:lineRule="exact"/>
        <w:rPr>
          <w:rFonts w:ascii="Times New Roman" w:eastAsia="Times New Roman" w:hAnsi="Times New Roman"/>
          <w:sz w:val="24"/>
          <w:lang w:val="cs-CZ"/>
        </w:rPr>
      </w:pPr>
    </w:p>
    <w:p w14:paraId="62C9E7D6" w14:textId="77777777" w:rsidR="005947C0" w:rsidRPr="00B94A39" w:rsidRDefault="005947C0">
      <w:pPr>
        <w:spacing w:line="271" w:lineRule="exact"/>
        <w:rPr>
          <w:rFonts w:ascii="Times New Roman" w:eastAsia="Times New Roman" w:hAnsi="Times New Roman"/>
          <w:sz w:val="24"/>
          <w:lang w:val="cs-CZ"/>
        </w:rPr>
      </w:pPr>
    </w:p>
    <w:p w14:paraId="76CFEB42" w14:textId="77777777" w:rsidR="005947C0" w:rsidRPr="00B94A39" w:rsidRDefault="005947C0">
      <w:pPr>
        <w:spacing w:line="0" w:lineRule="atLeast"/>
        <w:ind w:right="20"/>
        <w:jc w:val="center"/>
        <w:rPr>
          <w:rFonts w:ascii="Times New Roman" w:eastAsia="Times New Roman" w:hAnsi="Times New Roman"/>
          <w:b/>
          <w:sz w:val="28"/>
          <w:lang w:val="cs-CZ"/>
        </w:rPr>
      </w:pPr>
      <w:r w:rsidRPr="00B94A39">
        <w:rPr>
          <w:rFonts w:ascii="Times New Roman" w:eastAsia="Times New Roman" w:hAnsi="Times New Roman"/>
          <w:b/>
          <w:sz w:val="28"/>
          <w:lang w:val="cs-CZ"/>
        </w:rPr>
        <w:t>Řešeno v roce</w:t>
      </w:r>
    </w:p>
    <w:p w14:paraId="2181401C" w14:textId="77777777" w:rsidR="005947C0" w:rsidRPr="00B94A39" w:rsidRDefault="005947C0">
      <w:pPr>
        <w:spacing w:line="120" w:lineRule="exact"/>
        <w:rPr>
          <w:rFonts w:ascii="Times New Roman" w:eastAsia="Times New Roman" w:hAnsi="Times New Roman"/>
          <w:sz w:val="24"/>
          <w:lang w:val="cs-CZ"/>
        </w:rPr>
      </w:pPr>
    </w:p>
    <w:p w14:paraId="768532D5" w14:textId="502783AD" w:rsidR="005947C0" w:rsidRPr="00B94A39" w:rsidRDefault="005947C0">
      <w:pPr>
        <w:spacing w:line="0" w:lineRule="atLeast"/>
        <w:jc w:val="center"/>
        <w:rPr>
          <w:rFonts w:ascii="Times New Roman" w:eastAsia="Times New Roman" w:hAnsi="Times New Roman"/>
          <w:b/>
          <w:sz w:val="28"/>
          <w:lang w:val="cs-CZ"/>
        </w:rPr>
      </w:pPr>
      <w:r w:rsidRPr="00B94A39">
        <w:rPr>
          <w:rFonts w:ascii="Times New Roman" w:eastAsia="Times New Roman" w:hAnsi="Times New Roman"/>
          <w:b/>
          <w:sz w:val="28"/>
          <w:lang w:val="cs-CZ"/>
        </w:rPr>
        <w:t>20</w:t>
      </w:r>
      <w:r w:rsidR="000A2677">
        <w:rPr>
          <w:rFonts w:ascii="Times New Roman" w:eastAsia="Times New Roman" w:hAnsi="Times New Roman"/>
          <w:b/>
          <w:sz w:val="28"/>
          <w:lang w:val="cs-CZ"/>
        </w:rPr>
        <w:t>20</w:t>
      </w:r>
    </w:p>
    <w:p w14:paraId="6EFC0C36" w14:textId="77777777" w:rsidR="005947C0" w:rsidRPr="00B94A39" w:rsidRDefault="005947C0">
      <w:pPr>
        <w:spacing w:line="194" w:lineRule="exact"/>
        <w:rPr>
          <w:rFonts w:ascii="Times New Roman" w:eastAsia="Times New Roman" w:hAnsi="Times New Roman"/>
          <w:sz w:val="24"/>
          <w:lang w:val="cs-CZ"/>
        </w:rPr>
      </w:pPr>
    </w:p>
    <w:p w14:paraId="566D771E" w14:textId="77777777" w:rsidR="005947C0" w:rsidRPr="00B94A39" w:rsidRDefault="005947C0">
      <w:pPr>
        <w:spacing w:line="0" w:lineRule="atLeast"/>
        <w:jc w:val="right"/>
        <w:rPr>
          <w:rFonts w:ascii="Times New Roman" w:eastAsia="Times New Roman" w:hAnsi="Times New Roman"/>
          <w:sz w:val="23"/>
          <w:lang w:val="cs-CZ"/>
        </w:rPr>
      </w:pPr>
      <w:r w:rsidRPr="00B94A39">
        <w:rPr>
          <w:rFonts w:ascii="Times New Roman" w:eastAsia="Times New Roman" w:hAnsi="Times New Roman"/>
          <w:sz w:val="23"/>
          <w:lang w:val="cs-CZ"/>
        </w:rPr>
        <w:t>SM9/2016-1</w:t>
      </w:r>
    </w:p>
    <w:p w14:paraId="407F8B59" w14:textId="77777777" w:rsidR="005947C0" w:rsidRPr="00B94A39" w:rsidRDefault="005947C0">
      <w:pPr>
        <w:spacing w:line="0" w:lineRule="atLeast"/>
        <w:jc w:val="right"/>
        <w:rPr>
          <w:rFonts w:ascii="Times New Roman" w:eastAsia="Times New Roman" w:hAnsi="Times New Roman"/>
          <w:sz w:val="23"/>
          <w:lang w:val="cs-CZ"/>
        </w:rPr>
        <w:sectPr w:rsidR="005947C0" w:rsidRPr="00B94A39" w:rsidSect="003A0611">
          <w:footerReference w:type="default" r:id="rId9"/>
          <w:pgSz w:w="11900" w:h="16838"/>
          <w:pgMar w:top="1410" w:right="1406" w:bottom="425" w:left="1420" w:header="0" w:footer="0" w:gutter="0"/>
          <w:cols w:space="0" w:equalWidth="0">
            <w:col w:w="9080"/>
          </w:cols>
          <w:titlePg/>
          <w:docGrid w:linePitch="360"/>
        </w:sectPr>
      </w:pPr>
    </w:p>
    <w:p w14:paraId="781199D0" w14:textId="77777777" w:rsidR="005947C0" w:rsidRPr="00E50A09" w:rsidRDefault="005947C0" w:rsidP="00E50A09">
      <w:pPr>
        <w:numPr>
          <w:ilvl w:val="0"/>
          <w:numId w:val="1"/>
        </w:numPr>
        <w:tabs>
          <w:tab w:val="left" w:pos="284"/>
        </w:tabs>
        <w:spacing w:line="276" w:lineRule="auto"/>
        <w:ind w:left="284" w:hanging="284"/>
        <w:jc w:val="both"/>
        <w:rPr>
          <w:rFonts w:ascii="Times New Roman" w:eastAsia="Times New Roman" w:hAnsi="Times New Roman"/>
          <w:b/>
          <w:sz w:val="28"/>
          <w:lang w:val="cs-CZ"/>
        </w:rPr>
      </w:pPr>
      <w:bookmarkStart w:id="1" w:name="page2"/>
      <w:bookmarkEnd w:id="1"/>
      <w:r w:rsidRPr="00E50A09">
        <w:rPr>
          <w:rFonts w:ascii="Times New Roman" w:eastAsia="Times New Roman" w:hAnsi="Times New Roman"/>
          <w:b/>
          <w:sz w:val="28"/>
          <w:lang w:val="cs-CZ"/>
        </w:rPr>
        <w:lastRenderedPageBreak/>
        <w:t>Cíl řešení</w:t>
      </w:r>
    </w:p>
    <w:p w14:paraId="5646C183" w14:textId="77777777" w:rsidR="005947C0" w:rsidRPr="00E50A09" w:rsidRDefault="005947C0" w:rsidP="00E50A09">
      <w:pPr>
        <w:spacing w:line="276" w:lineRule="auto"/>
        <w:jc w:val="both"/>
        <w:rPr>
          <w:rFonts w:ascii="Times New Roman" w:eastAsia="Times New Roman" w:hAnsi="Times New Roman"/>
          <w:b/>
          <w:sz w:val="28"/>
          <w:lang w:val="cs-CZ"/>
        </w:rPr>
      </w:pPr>
    </w:p>
    <w:p w14:paraId="39529BFC" w14:textId="7BA696C7" w:rsidR="000A2677" w:rsidRPr="00E50A09" w:rsidRDefault="000A2677" w:rsidP="00E50A09">
      <w:pPr>
        <w:tabs>
          <w:tab w:val="left" w:pos="284"/>
        </w:tabs>
        <w:spacing w:line="276" w:lineRule="auto"/>
        <w:jc w:val="both"/>
        <w:rPr>
          <w:rFonts w:ascii="Times New Roman" w:hAnsi="Times New Roman" w:cs="Times New Roman"/>
          <w:sz w:val="28"/>
          <w:szCs w:val="28"/>
          <w:lang w:val="cs-CZ"/>
        </w:rPr>
      </w:pPr>
      <w:r w:rsidRPr="00E50A09">
        <w:rPr>
          <w:rFonts w:ascii="Times New Roman" w:hAnsi="Times New Roman" w:cs="Times New Roman"/>
          <w:sz w:val="28"/>
          <w:szCs w:val="28"/>
          <w:lang w:val="cs-CZ"/>
        </w:rPr>
        <w:tab/>
        <w:t>Cílem tohoto grantu je inovovat výuku chemie na VŠTE</w:t>
      </w:r>
      <w:r w:rsidR="002252C1" w:rsidRPr="00E50A09">
        <w:rPr>
          <w:rFonts w:ascii="Times New Roman" w:hAnsi="Times New Roman" w:cs="Times New Roman"/>
          <w:sz w:val="28"/>
          <w:szCs w:val="28"/>
          <w:lang w:val="cs-CZ"/>
        </w:rPr>
        <w:t>,</w:t>
      </w:r>
      <w:r w:rsidRPr="00E50A09">
        <w:rPr>
          <w:rFonts w:ascii="Times New Roman" w:hAnsi="Times New Roman" w:cs="Times New Roman"/>
          <w:sz w:val="28"/>
          <w:szCs w:val="28"/>
          <w:lang w:val="cs-CZ"/>
        </w:rPr>
        <w:t xml:space="preserve"> a to zejména prostřednictvím série experimentů, které mohou prakticky demonstrovat principy teoreticky probíraného učiva. Další cíl představuje podpora výzkumné a publikační aktivity akademických pracovníků materiálového centra VŠTE v mezinárodních impaktovaných periodicích. Bude rovněž vyvíjena aktivita směrem širší implementace laboratorního zázemí a know-how v rámci ostatních výzkumných směrů na VŠTE a spolupráce s externími subjekty.</w:t>
      </w:r>
    </w:p>
    <w:p w14:paraId="1F239129" w14:textId="77777777" w:rsidR="000A2677" w:rsidRPr="00E50A09" w:rsidRDefault="000A2677" w:rsidP="00E50A09">
      <w:pPr>
        <w:tabs>
          <w:tab w:val="left" w:pos="284"/>
        </w:tabs>
        <w:spacing w:line="276" w:lineRule="auto"/>
        <w:jc w:val="both"/>
        <w:rPr>
          <w:rFonts w:ascii="Times New Roman" w:hAnsi="Times New Roman" w:cs="Times New Roman"/>
          <w:sz w:val="28"/>
          <w:szCs w:val="28"/>
          <w:lang w:val="cs-CZ"/>
        </w:rPr>
      </w:pPr>
    </w:p>
    <w:p w14:paraId="44B19D8B" w14:textId="72120B91" w:rsidR="005947C0" w:rsidRPr="00E50A09" w:rsidRDefault="005947C0" w:rsidP="00E50A09">
      <w:pPr>
        <w:tabs>
          <w:tab w:val="left" w:pos="284"/>
        </w:tabs>
        <w:spacing w:line="276" w:lineRule="auto"/>
        <w:jc w:val="both"/>
        <w:rPr>
          <w:rFonts w:ascii="Times New Roman" w:eastAsia="Times New Roman" w:hAnsi="Times New Roman"/>
          <w:b/>
          <w:sz w:val="28"/>
          <w:lang w:val="cs-CZ"/>
        </w:rPr>
      </w:pPr>
      <w:r w:rsidRPr="00E50A09">
        <w:rPr>
          <w:rFonts w:ascii="Times New Roman" w:eastAsia="Times New Roman" w:hAnsi="Times New Roman"/>
          <w:b/>
          <w:sz w:val="28"/>
          <w:lang w:val="cs-CZ"/>
        </w:rPr>
        <w:t>Materiál a metodika řešení</w:t>
      </w:r>
    </w:p>
    <w:p w14:paraId="6CF5AB58" w14:textId="4F0BE91A" w:rsidR="00C53AEC" w:rsidRPr="00E50A09" w:rsidRDefault="00771EEC" w:rsidP="00E50A09">
      <w:pPr>
        <w:spacing w:before="240" w:after="240" w:line="276" w:lineRule="auto"/>
        <w:ind w:firstLine="284"/>
        <w:jc w:val="both"/>
        <w:rPr>
          <w:rFonts w:ascii="Times New Roman" w:eastAsia="Times New Roman" w:hAnsi="Times New Roman"/>
          <w:sz w:val="28"/>
          <w:lang w:val="cs-CZ"/>
        </w:rPr>
      </w:pPr>
      <w:r w:rsidRPr="00E50A09">
        <w:rPr>
          <w:rFonts w:ascii="Times New Roman" w:eastAsia="Times New Roman" w:hAnsi="Times New Roman"/>
          <w:sz w:val="28"/>
          <w:lang w:val="cs-CZ"/>
        </w:rPr>
        <w:t>Přidělené materiální náklady byly využity na nákup drobného laboratorního vybavení</w:t>
      </w:r>
      <w:r w:rsidR="00C01D78" w:rsidRPr="00E50A09">
        <w:rPr>
          <w:rFonts w:ascii="Times New Roman" w:eastAsia="Times New Roman" w:hAnsi="Times New Roman"/>
          <w:sz w:val="28"/>
          <w:lang w:val="cs-CZ"/>
        </w:rPr>
        <w:t xml:space="preserve"> nezbytného pro chod přístrojů a vědecko</w:t>
      </w:r>
      <w:r w:rsidR="00C01D78" w:rsidRPr="00E50A09">
        <w:rPr>
          <w:rFonts w:ascii="Times New Roman" w:eastAsia="Times New Roman" w:hAnsi="Times New Roman"/>
          <w:sz w:val="28"/>
          <w:lang w:val="cs-CZ"/>
        </w:rPr>
        <w:noBreakHyphen/>
        <w:t>výzkumné práce</w:t>
      </w:r>
      <w:r w:rsidRPr="00E50A09">
        <w:rPr>
          <w:rFonts w:ascii="Times New Roman" w:eastAsia="Times New Roman" w:hAnsi="Times New Roman"/>
          <w:sz w:val="28"/>
          <w:lang w:val="cs-CZ"/>
        </w:rPr>
        <w:t xml:space="preserve"> Materiálové laboratoře VŠTE</w:t>
      </w:r>
      <w:r w:rsidR="00C01D78" w:rsidRPr="00E50A09">
        <w:rPr>
          <w:rFonts w:ascii="Times New Roman" w:eastAsia="Times New Roman" w:hAnsi="Times New Roman"/>
          <w:sz w:val="28"/>
          <w:lang w:val="cs-CZ"/>
        </w:rPr>
        <w:t>. Dále byly pořízeny</w:t>
      </w:r>
      <w:r w:rsidR="003B2CD2" w:rsidRPr="00E50A09">
        <w:rPr>
          <w:rFonts w:ascii="Times New Roman" w:eastAsia="Times New Roman" w:hAnsi="Times New Roman"/>
          <w:sz w:val="28"/>
          <w:lang w:val="cs-CZ"/>
        </w:rPr>
        <w:t xml:space="preserve"> součást</w:t>
      </w:r>
      <w:r w:rsidR="00C01D78" w:rsidRPr="00E50A09">
        <w:rPr>
          <w:rFonts w:ascii="Times New Roman" w:eastAsia="Times New Roman" w:hAnsi="Times New Roman"/>
          <w:sz w:val="28"/>
          <w:lang w:val="cs-CZ"/>
        </w:rPr>
        <w:t>ky</w:t>
      </w:r>
      <w:r w:rsidR="003B2CD2" w:rsidRPr="00E50A09">
        <w:rPr>
          <w:rFonts w:ascii="Times New Roman" w:eastAsia="Times New Roman" w:hAnsi="Times New Roman"/>
          <w:sz w:val="28"/>
          <w:lang w:val="cs-CZ"/>
        </w:rPr>
        <w:t xml:space="preserve"> pro plynový chromatograf s hmotnostním spektrometrem (GC/MS)</w:t>
      </w:r>
      <w:r w:rsidRPr="00E50A09">
        <w:rPr>
          <w:rFonts w:ascii="Times New Roman" w:eastAsia="Times New Roman" w:hAnsi="Times New Roman"/>
          <w:sz w:val="28"/>
          <w:lang w:val="cs-CZ"/>
        </w:rPr>
        <w:t>. Jedná se především o následující položky:</w:t>
      </w:r>
    </w:p>
    <w:p w14:paraId="026A9F95" w14:textId="394C7133" w:rsidR="00E97165" w:rsidRPr="00E50A09" w:rsidRDefault="003B2CD2" w:rsidP="00E50A09">
      <w:pPr>
        <w:numPr>
          <w:ilvl w:val="0"/>
          <w:numId w:val="5"/>
        </w:numPr>
        <w:spacing w:before="240"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d</w:t>
      </w:r>
      <w:r w:rsidR="00E97165" w:rsidRPr="00E50A09">
        <w:rPr>
          <w:rFonts w:ascii="Times New Roman" w:eastAsia="Times New Roman" w:hAnsi="Times New Roman"/>
          <w:sz w:val="28"/>
          <w:lang w:val="cs-CZ"/>
        </w:rPr>
        <w:t>robné</w:t>
      </w:r>
      <w:r w:rsidRPr="00E50A09">
        <w:rPr>
          <w:rFonts w:ascii="Times New Roman" w:eastAsia="Times New Roman" w:hAnsi="Times New Roman"/>
          <w:sz w:val="28"/>
          <w:lang w:val="cs-CZ"/>
        </w:rPr>
        <w:t xml:space="preserve"> skleněné, plastové a další</w:t>
      </w:r>
      <w:r w:rsidR="00E97165" w:rsidRPr="00E50A09">
        <w:rPr>
          <w:rFonts w:ascii="Times New Roman" w:eastAsia="Times New Roman" w:hAnsi="Times New Roman"/>
          <w:sz w:val="28"/>
          <w:lang w:val="cs-CZ"/>
        </w:rPr>
        <w:t xml:space="preserve"> laboratorní vybavení (</w:t>
      </w:r>
      <w:r w:rsidRPr="00E50A09">
        <w:rPr>
          <w:rFonts w:ascii="Times New Roman" w:eastAsia="Times New Roman" w:hAnsi="Times New Roman"/>
          <w:sz w:val="28"/>
          <w:lang w:val="cs-CZ"/>
        </w:rPr>
        <w:t>pipety</w:t>
      </w:r>
      <w:r w:rsidR="00E97165" w:rsidRPr="00E50A09">
        <w:rPr>
          <w:rFonts w:ascii="Times New Roman" w:eastAsia="Times New Roman" w:hAnsi="Times New Roman"/>
          <w:sz w:val="28"/>
          <w:lang w:val="cs-CZ"/>
        </w:rPr>
        <w:t xml:space="preserve">, </w:t>
      </w:r>
      <w:r w:rsidRPr="00E50A09">
        <w:rPr>
          <w:rFonts w:ascii="Times New Roman" w:eastAsia="Times New Roman" w:hAnsi="Times New Roman"/>
          <w:sz w:val="28"/>
          <w:lang w:val="cs-CZ"/>
        </w:rPr>
        <w:t>míchadla</w:t>
      </w:r>
      <w:r w:rsidR="00E97165" w:rsidRPr="00E50A09">
        <w:rPr>
          <w:rFonts w:ascii="Times New Roman" w:eastAsia="Times New Roman" w:hAnsi="Times New Roman"/>
          <w:sz w:val="28"/>
          <w:lang w:val="cs-CZ"/>
        </w:rPr>
        <w:t>,</w:t>
      </w:r>
      <w:r w:rsidRPr="00E50A09">
        <w:rPr>
          <w:rFonts w:ascii="Times New Roman" w:eastAsia="Times New Roman" w:hAnsi="Times New Roman"/>
          <w:sz w:val="28"/>
          <w:lang w:val="cs-CZ"/>
        </w:rPr>
        <w:t xml:space="preserve"> teploměr, nástavce pro vakuovou rotační odparku, filtrační papír,</w:t>
      </w:r>
      <w:r w:rsidR="00E97165" w:rsidRPr="00E50A09">
        <w:rPr>
          <w:rFonts w:ascii="Times New Roman" w:eastAsia="Times New Roman" w:hAnsi="Times New Roman"/>
          <w:sz w:val="28"/>
          <w:lang w:val="cs-CZ"/>
        </w:rPr>
        <w:t xml:space="preserve"> frity apod.)</w:t>
      </w:r>
    </w:p>
    <w:p w14:paraId="4F78CEA6" w14:textId="62F5F5BA" w:rsidR="00E97165" w:rsidRPr="00E50A09" w:rsidRDefault="003B2CD2" w:rsidP="00E50A09">
      <w:pPr>
        <w:numPr>
          <w:ilvl w:val="0"/>
          <w:numId w:val="5"/>
        </w:numPr>
        <w:spacing w:before="240" w:after="240"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septa a stříkačky do nástřikových ALS věží pro GC/MS</w:t>
      </w:r>
    </w:p>
    <w:p w14:paraId="10E0BB03" w14:textId="42820770" w:rsidR="003B2CD2" w:rsidRPr="00E50A09" w:rsidRDefault="003B2CD2" w:rsidP="00E50A09">
      <w:pPr>
        <w:numPr>
          <w:ilvl w:val="0"/>
          <w:numId w:val="5"/>
        </w:numPr>
        <w:spacing w:before="240" w:after="240"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 xml:space="preserve">filtr pro vysoušení a deoxygenaci nosného plynu helia pro GC/MS </w:t>
      </w:r>
    </w:p>
    <w:p w14:paraId="7659AA07" w14:textId="698B6EA4" w:rsidR="00FE19E8" w:rsidRPr="00E50A09" w:rsidRDefault="00FE19E8" w:rsidP="00E50A09">
      <w:pPr>
        <w:spacing w:line="276" w:lineRule="auto"/>
        <w:ind w:firstLine="360"/>
        <w:jc w:val="both"/>
        <w:rPr>
          <w:rFonts w:ascii="Times New Roman" w:eastAsia="Times New Roman" w:hAnsi="Times New Roman"/>
          <w:sz w:val="28"/>
          <w:lang w:val="cs-CZ"/>
        </w:rPr>
      </w:pPr>
      <w:r w:rsidRPr="00E50A09">
        <w:rPr>
          <w:rFonts w:ascii="Times New Roman" w:eastAsia="Times New Roman" w:hAnsi="Times New Roman"/>
          <w:sz w:val="28"/>
          <w:lang w:val="cs-CZ"/>
        </w:rPr>
        <w:t>Díky přístrojovému vybavení materiálového centra VŠTE bylo možné zahájit spolupráci s Ing. Janem Fořtem, Ph.D.</w:t>
      </w:r>
      <w:r w:rsidR="000B6125" w:rsidRPr="00E50A09">
        <w:rPr>
          <w:rFonts w:ascii="Times New Roman" w:eastAsia="Times New Roman" w:hAnsi="Times New Roman"/>
          <w:sz w:val="28"/>
          <w:lang w:val="cs-CZ"/>
        </w:rPr>
        <w:t xml:space="preserve"> (katedra stavebnictví, VŠTE)</w:t>
      </w:r>
      <w:r w:rsidRPr="00E50A09">
        <w:rPr>
          <w:rFonts w:ascii="Times New Roman" w:eastAsia="Times New Roman" w:hAnsi="Times New Roman"/>
          <w:sz w:val="28"/>
          <w:lang w:val="cs-CZ"/>
        </w:rPr>
        <w:t xml:space="preserve"> v oblasti pokročilé</w:t>
      </w:r>
      <w:r w:rsidR="004B0343" w:rsidRPr="00E50A09">
        <w:rPr>
          <w:rFonts w:ascii="Times New Roman" w:eastAsia="Times New Roman" w:hAnsi="Times New Roman"/>
          <w:sz w:val="28"/>
          <w:lang w:val="cs-CZ"/>
        </w:rPr>
        <w:t xml:space="preserve"> kvalitativní a kvantitativní</w:t>
      </w:r>
      <w:r w:rsidRPr="00E50A09">
        <w:rPr>
          <w:rFonts w:ascii="Times New Roman" w:eastAsia="Times New Roman" w:hAnsi="Times New Roman"/>
          <w:sz w:val="28"/>
          <w:lang w:val="cs-CZ"/>
        </w:rPr>
        <w:t xml:space="preserve"> analýzy polycyklických aromatických uhlovodíku</w:t>
      </w:r>
      <w:r w:rsidR="00C01D78" w:rsidRPr="00E50A09">
        <w:rPr>
          <w:rFonts w:ascii="Times New Roman" w:eastAsia="Times New Roman" w:hAnsi="Times New Roman"/>
          <w:sz w:val="28"/>
          <w:lang w:val="cs-CZ"/>
        </w:rPr>
        <w:t xml:space="preserve"> (PAU)</w:t>
      </w:r>
      <w:r w:rsidRPr="00E50A09">
        <w:rPr>
          <w:rFonts w:ascii="Times New Roman" w:eastAsia="Times New Roman" w:hAnsi="Times New Roman"/>
          <w:sz w:val="28"/>
          <w:lang w:val="cs-CZ"/>
        </w:rPr>
        <w:t xml:space="preserve"> přítomných v recyklátu z použitých pneumatik</w:t>
      </w:r>
      <w:r w:rsidR="00C01D78" w:rsidRPr="00E50A09">
        <w:rPr>
          <w:rFonts w:ascii="Times New Roman" w:eastAsia="Times New Roman" w:hAnsi="Times New Roman"/>
          <w:sz w:val="28"/>
          <w:lang w:val="cs-CZ"/>
        </w:rPr>
        <w:t>. Klíčové jsou pro tento projekt zejména GC/MS přístroj a termogravimetrický analyzátor (TGA). Tento výzkum byl dále rovněž podpořen Technologickou agenturou České republiky (TAČR).</w:t>
      </w:r>
    </w:p>
    <w:p w14:paraId="4E785B15" w14:textId="77777777" w:rsidR="005D6366" w:rsidRPr="00E50A09" w:rsidRDefault="005D6366" w:rsidP="00E50A09">
      <w:pPr>
        <w:spacing w:line="276" w:lineRule="auto"/>
        <w:ind w:firstLine="360"/>
        <w:jc w:val="both"/>
        <w:rPr>
          <w:rFonts w:ascii="Times New Roman" w:eastAsia="Times New Roman" w:hAnsi="Times New Roman"/>
          <w:sz w:val="28"/>
          <w:lang w:val="cs-CZ"/>
        </w:rPr>
      </w:pPr>
    </w:p>
    <w:p w14:paraId="2BA22CD6" w14:textId="619217DE" w:rsidR="005D6366" w:rsidRPr="00E50A09" w:rsidRDefault="00C01D78" w:rsidP="00E50A09">
      <w:pPr>
        <w:spacing w:line="276" w:lineRule="auto"/>
        <w:ind w:firstLine="360"/>
        <w:jc w:val="both"/>
        <w:rPr>
          <w:rFonts w:ascii="Times New Roman" w:eastAsia="Times New Roman" w:hAnsi="Times New Roman"/>
          <w:sz w:val="28"/>
          <w:lang w:val="cs-CZ"/>
        </w:rPr>
      </w:pPr>
      <w:r w:rsidRPr="00E50A09">
        <w:rPr>
          <w:rFonts w:ascii="Times New Roman" w:eastAsia="Times New Roman" w:hAnsi="Times New Roman"/>
          <w:sz w:val="28"/>
          <w:lang w:val="cs-CZ"/>
        </w:rPr>
        <w:t>Dále byl</w:t>
      </w:r>
      <w:r w:rsidR="004B0343" w:rsidRPr="00E50A09">
        <w:rPr>
          <w:rFonts w:ascii="Times New Roman" w:eastAsia="Times New Roman" w:hAnsi="Times New Roman"/>
          <w:sz w:val="28"/>
          <w:lang w:val="cs-CZ"/>
        </w:rPr>
        <w:t>y</w:t>
      </w:r>
      <w:r w:rsidRPr="00E50A09">
        <w:rPr>
          <w:rFonts w:ascii="Times New Roman" w:eastAsia="Times New Roman" w:hAnsi="Times New Roman"/>
          <w:sz w:val="28"/>
          <w:lang w:val="cs-CZ"/>
        </w:rPr>
        <w:t xml:space="preserve"> s využitím TGA přístroje </w:t>
      </w:r>
      <w:r w:rsidR="004B0343" w:rsidRPr="00E50A09">
        <w:rPr>
          <w:rFonts w:ascii="Times New Roman" w:eastAsia="Times New Roman" w:hAnsi="Times New Roman"/>
          <w:sz w:val="28"/>
          <w:lang w:val="cs-CZ"/>
        </w:rPr>
        <w:t>provedeny série měření za účelem určení termální stability látek na bázi selenu. Tato spolupráce s Ing. Jaroslavem Charvotem</w:t>
      </w:r>
      <w:r w:rsidR="000B6125" w:rsidRPr="00E50A09">
        <w:rPr>
          <w:rFonts w:ascii="Times New Roman" w:eastAsia="Times New Roman" w:hAnsi="Times New Roman"/>
          <w:sz w:val="28"/>
          <w:lang w:val="cs-CZ"/>
        </w:rPr>
        <w:t xml:space="preserve"> (Fakulta chemicko</w:t>
      </w:r>
      <w:r w:rsidR="000B6125" w:rsidRPr="00E50A09">
        <w:rPr>
          <w:rFonts w:ascii="Times New Roman" w:eastAsia="Times New Roman" w:hAnsi="Times New Roman"/>
          <w:sz w:val="28"/>
          <w:lang w:val="cs-CZ"/>
        </w:rPr>
        <w:noBreakHyphen/>
        <w:t>technologická, Univerzita Pardubice)</w:t>
      </w:r>
      <w:r w:rsidR="004B0343" w:rsidRPr="00E50A09">
        <w:rPr>
          <w:rFonts w:ascii="Times New Roman" w:eastAsia="Times New Roman" w:hAnsi="Times New Roman"/>
          <w:sz w:val="28"/>
          <w:lang w:val="cs-CZ"/>
        </w:rPr>
        <w:t xml:space="preserve"> vyústila v</w:t>
      </w:r>
      <w:r w:rsidR="000B6125" w:rsidRPr="00E50A09">
        <w:rPr>
          <w:rFonts w:ascii="Times New Roman" w:eastAsia="Times New Roman" w:hAnsi="Times New Roman"/>
          <w:sz w:val="28"/>
          <w:lang w:val="cs-CZ"/>
        </w:rPr>
        <w:t>e dvě</w:t>
      </w:r>
      <w:r w:rsidR="004B0343" w:rsidRPr="00E50A09">
        <w:rPr>
          <w:rFonts w:ascii="Times New Roman" w:eastAsia="Times New Roman" w:hAnsi="Times New Roman"/>
          <w:sz w:val="28"/>
          <w:lang w:val="cs-CZ"/>
        </w:rPr>
        <w:t xml:space="preserve"> společn</w:t>
      </w:r>
      <w:r w:rsidR="000B6125" w:rsidRPr="00E50A09">
        <w:rPr>
          <w:rFonts w:ascii="Times New Roman" w:eastAsia="Times New Roman" w:hAnsi="Times New Roman"/>
          <w:sz w:val="28"/>
          <w:lang w:val="cs-CZ"/>
        </w:rPr>
        <w:t>é</w:t>
      </w:r>
      <w:r w:rsidR="004B0343" w:rsidRPr="00E50A09">
        <w:rPr>
          <w:rFonts w:ascii="Times New Roman" w:eastAsia="Times New Roman" w:hAnsi="Times New Roman"/>
          <w:sz w:val="28"/>
          <w:lang w:val="cs-CZ"/>
        </w:rPr>
        <w:t xml:space="preserve"> publikac</w:t>
      </w:r>
      <w:r w:rsidR="000B6125" w:rsidRPr="00E50A09">
        <w:rPr>
          <w:rFonts w:ascii="Times New Roman" w:eastAsia="Times New Roman" w:hAnsi="Times New Roman"/>
          <w:sz w:val="28"/>
          <w:lang w:val="cs-CZ"/>
        </w:rPr>
        <w:t>e</w:t>
      </w:r>
      <w:r w:rsidR="004B0343" w:rsidRPr="00E50A09">
        <w:rPr>
          <w:rFonts w:ascii="Times New Roman" w:eastAsia="Times New Roman" w:hAnsi="Times New Roman"/>
          <w:sz w:val="28"/>
          <w:lang w:val="cs-CZ"/>
        </w:rPr>
        <w:t xml:space="preserve"> v mezinárodních impaktovaných periodicích</w:t>
      </w:r>
      <w:r w:rsidR="00C50381" w:rsidRPr="00E50A09">
        <w:rPr>
          <w:rFonts w:ascii="Times New Roman" w:eastAsia="Times New Roman" w:hAnsi="Times New Roman"/>
          <w:sz w:val="28"/>
          <w:lang w:val="cs-CZ"/>
        </w:rPr>
        <w:t>.</w:t>
      </w:r>
      <w:r w:rsidR="00C50381" w:rsidRPr="00E50A09">
        <w:rPr>
          <w:rFonts w:ascii="Times New Roman" w:eastAsia="Times New Roman" w:hAnsi="Times New Roman"/>
          <w:sz w:val="28"/>
          <w:lang w:val="cs-CZ"/>
        </w:rPr>
        <w:fldChar w:fldCharType="begin" w:fldLock="1"/>
      </w:r>
      <w:r w:rsidR="00C50381" w:rsidRPr="00E50A09">
        <w:rPr>
          <w:rFonts w:ascii="Times New Roman" w:eastAsia="Times New Roman" w:hAnsi="Times New Roman"/>
          <w:sz w:val="28"/>
          <w:lang w:val="cs-CZ"/>
        </w:rPr>
        <w:instrText>ADDIN CSL_CITATION {"citationItems":[{"id":"ITEM-1","itemData":{"DOI":"10.1016/j.flatc.2020.100166","ISSN":"24522627","abstract":"Among the emerging 2D materials, transition metal chalcogenides are particularly encouraging as alternative semiconducting graphene-like nanomaterial. Recently, 2D MoSe2 has been gaining interest due to its intriguing properties, in many ways exceeding those of the extensively studied MoS2. The deposition of 2D nanomaterials in a conformal and uniform fashion on complex-shaped nanostructures is highly appealing but only achievable by atomic layer deposition (ALD). Unfortunately, the synthesis of MoSe2 by ALD is hindered by a current substantial lack of feasible Se precursors. In this work, we synthesized a set of alkysilyl (R3Si)2Se and alkylstannyl (R3Sn)2Se compounds and studied their suitability as Se ALD precursors. Thus, ALD processes carried out using MoCl5 as Mo precursor counterpart were followed by an extensive characterization of the as deposited material. The corresponding results revealed successful deposition of MoSe2 nanostructures on substrates of different nature with dominant out-of-plane orientation. Eventually, the growth evolution of the MoSe2 during the very early ALD stage was studied and described, displaying concomitant in-plane and out-of-plane MoSe2 growth. All in all, a set of suitable Se precursors presented herein paves the way for the deposition of 2D MoSe2 with all the own ALD benefits and allow the further study of its promising properties in a wide number of applications.","author":[{"dropping-particle":"","family":"Zazpe","given":"Raul","non-dropping-particle":"","parse-names":false,"suffix":""},{"dropping-particle":"","family":"Charvot","given":"Jaroslav","non-dropping-particle":"","parse-names":false,"suffix":""},{"dropping-particle":"","family":"Krumpolec","given":"Richard","non-dropping-particle":"","parse-names":false,"suffix":""},{"dropping-particle":"","family":"Hromádko","given":"Luděk","non-dropping-particle":"","parse-names":false,"suffix":""},{"dropping-particle":"","family":"Pavliňák","given":"David","non-dropping-particle":"","parse-names":false,"suffix":""},{"dropping-particle":"","family":"Dvorak","given":"Filip","non-dropping-particle":"","parse-names":false,"suffix":""},{"dropping-particle":"","family":"Knotek","given":"Petr","non-dropping-particle":"","parse-names":false,"suffix":""},{"dropping-particle":"","family":"Michalicka","given":"Jan","non-dropping-particle":"","parse-names":false,"suffix":""},{"dropping-particle":"","family":"Přikryl","given":"Jan","non-dropping-particle":"","parse-names":false,"suffix":""},{"dropping-particle":"","family":"Ng","given":"Siowwoon","non-dropping-particle":"","parse-names":false,"suffix":""},{"dropping-particle":"","family":"Jelínková","given":"Veronika","non-dropping-particle":"","parse-names":false,"suffix":""},{"dropping-particle":"","family":"Bureš","given":"Filip","non-dropping-particle":"","parse-names":false,"suffix":""},{"dropping-particle":"","family":"Macak","given":"Jan M.","non-dropping-particle":"","parse-names":false,"suffix":""}],"container-title":"FlatChem","id":"ITEM-1","issue":"April","issued":{"date-parts":[["2020"]]},"page":"100166","publisher":"Elsevier","title":"Atomic Layer Deposition of MoSe2 Using New Selenium Precursors","type":"article-journal","volume":"21"},"uris":["http://www.mendeley.com/documents/?uuid=50482eeb-be88-4851-8f01-45a27e0550e6"]},{"id":"ITEM-2","itemData":{"DOI":"10.1002/cplu.202000108","ISSN":"21926506","abstract":"Three cyclic silylselenides were prepared in a straightforward manner. Property tuning has been achieved by varying the ring size and the number of embedded selenium atoms. All silylselenides possess improved resistance towards moisture and oxidation as well as high thermal robustness and sufficient volatility with almost zero residues. The six-membered diselenide proved to be particularly superior Se precursors for atomic layer deposition and allowed facile preparation of MoSe2 layers. Their structure and composition have been investigated by Raman and X-ray photoelectron spectroscopy as well as scanning electron microscopy revealing vertically aligned flaky shaped nanosheets.","author":[{"dropping-particle":"","family":"Charvot","given":"Jaroslav","non-dropping-particle":"","parse-names":false,"suffix":""},{"dropping-particle":"","family":"Pokorný","given":"Daniel","non-dropping-particle":"","parse-names":false,"suffix":""},{"dropping-particle":"","family":"Zazpe","given":"Raul","non-dropping-particle":"","parse-names":false,"suffix":""},{"dropping-particle":"","family":"Krumpolec","given":"Richard","non-dropping-particle":"","parse-names":false,"suffix":""},{"dropping-particle":"","family":"Pavliňák","given":"David","non-dropping-particle":"","parse-names":false,"suffix":""},{"dropping-particle":"","family":"Hromádko","given":"Luděk","non-dropping-particle":"","parse-names":false,"suffix":""},{"dropping-particle":"","family":"Přikryl","given":"Jan","non-dropping-particle":"","parse-names":false,"suffix":""},{"dropping-particle":"","family":"Rodriguez-Pereira","given":"Jhonatan","non-dropping-particle":"","parse-names":false,"suffix":""},{"dropping-particle":"","family":"Klikar","given":"Milan","non-dropping-particle":"","parse-names":false,"suffix":""},{"dropping-particle":"","family":"Jelínková","given":"Veronika","non-dropping-particle":"","parse-names":false,"suffix":""},{"dropping-particle":"","family":"Macak","given":"Jan M.","non-dropping-particle":"","parse-names":false,"suffix":""},{"dropping-particle":"","family":"Bureš","given":"Filip","non-dropping-particle":"","parse-names":false,"suffix":""}],"container-title":"ChemPlusChem","id":"ITEM-2","issue":"3","issued":{"date-parts":[["2020"]]},"page":"576-579","title":"Cyclic Silylselenides: Convenient Selenium Precursors for Atomic Layer Deposition","type":"article-journal","volume":"85"},"uris":["http://www.mendeley.com/documents/?uuid=e112ef45-3fc2-44fe-8477-0acb10d668b9"]}],"mendeley":{"formattedCitation":"&lt;sup&gt;[1,2]&lt;/sup&gt;","plainTextFormattedCitation":"[1,2]"},"properties":{"noteIndex":0},"schema":"https://github.com/citation-style-language/schema/raw/master/csl-citation.json"}</w:instrText>
      </w:r>
      <w:r w:rsidR="00C50381" w:rsidRPr="00E50A09">
        <w:rPr>
          <w:rFonts w:ascii="Times New Roman" w:eastAsia="Times New Roman" w:hAnsi="Times New Roman"/>
          <w:sz w:val="28"/>
          <w:lang w:val="cs-CZ"/>
        </w:rPr>
        <w:fldChar w:fldCharType="separate"/>
      </w:r>
      <w:r w:rsidR="00C50381" w:rsidRPr="00E50A09">
        <w:rPr>
          <w:rFonts w:ascii="Times New Roman" w:eastAsia="Times New Roman" w:hAnsi="Times New Roman"/>
          <w:noProof/>
          <w:sz w:val="28"/>
          <w:vertAlign w:val="superscript"/>
          <w:lang w:val="cs-CZ"/>
        </w:rPr>
        <w:t>[1,2]</w:t>
      </w:r>
      <w:r w:rsidR="00C50381" w:rsidRPr="00E50A09">
        <w:rPr>
          <w:rFonts w:ascii="Times New Roman" w:eastAsia="Times New Roman" w:hAnsi="Times New Roman"/>
          <w:sz w:val="28"/>
          <w:lang w:val="cs-CZ"/>
        </w:rPr>
        <w:fldChar w:fldCharType="end"/>
      </w:r>
    </w:p>
    <w:p w14:paraId="6D1DEFDC" w14:textId="7A4B08EC" w:rsidR="00C01D78" w:rsidRPr="00E50A09" w:rsidRDefault="004B0343" w:rsidP="00E50A09">
      <w:pPr>
        <w:spacing w:line="276" w:lineRule="auto"/>
        <w:ind w:firstLine="360"/>
        <w:jc w:val="both"/>
        <w:rPr>
          <w:rFonts w:ascii="Times New Roman" w:eastAsia="Times New Roman" w:hAnsi="Times New Roman"/>
          <w:sz w:val="28"/>
          <w:lang w:val="cs-CZ"/>
        </w:rPr>
      </w:pPr>
      <w:r w:rsidRPr="00E50A09">
        <w:rPr>
          <w:rFonts w:ascii="Times New Roman" w:eastAsia="Times New Roman" w:hAnsi="Times New Roman"/>
          <w:sz w:val="28"/>
          <w:lang w:val="cs-CZ"/>
        </w:rPr>
        <w:t xml:space="preserve"> </w:t>
      </w:r>
    </w:p>
    <w:p w14:paraId="792ACFA1" w14:textId="2985DF01" w:rsidR="004B0343" w:rsidRPr="00E50A09" w:rsidRDefault="004B0343" w:rsidP="00E50A09">
      <w:pPr>
        <w:spacing w:line="276" w:lineRule="auto"/>
        <w:ind w:firstLine="360"/>
        <w:jc w:val="both"/>
        <w:rPr>
          <w:rFonts w:ascii="Times New Roman" w:eastAsia="Times New Roman" w:hAnsi="Times New Roman"/>
          <w:sz w:val="28"/>
          <w:lang w:val="cs-CZ"/>
        </w:rPr>
      </w:pPr>
      <w:r w:rsidRPr="00E50A09">
        <w:rPr>
          <w:rFonts w:ascii="Times New Roman" w:eastAsia="Times New Roman" w:hAnsi="Times New Roman"/>
          <w:sz w:val="28"/>
          <w:lang w:val="cs-CZ"/>
        </w:rPr>
        <w:lastRenderedPageBreak/>
        <w:t>Vědecko</w:t>
      </w:r>
      <w:r w:rsidRPr="00E50A09">
        <w:rPr>
          <w:rFonts w:ascii="Times New Roman" w:eastAsia="Times New Roman" w:hAnsi="Times New Roman"/>
          <w:sz w:val="28"/>
          <w:lang w:val="cs-CZ"/>
        </w:rPr>
        <w:noBreakHyphen/>
        <w:t>výzkumné zázemí materiálového centra VŠTE rovněž umožnilo navázání spolupráce s PharmDr. Tomášem Smutným, Ph.D.</w:t>
      </w:r>
      <w:r w:rsidR="000B6125" w:rsidRPr="00E50A09">
        <w:rPr>
          <w:rFonts w:ascii="Times New Roman" w:eastAsia="Times New Roman" w:hAnsi="Times New Roman"/>
          <w:sz w:val="28"/>
          <w:lang w:val="cs-CZ"/>
        </w:rPr>
        <w:t xml:space="preserve"> (Farmaceutická fakulta, Univerzita Karlova)</w:t>
      </w:r>
      <w:r w:rsidRPr="00E50A09">
        <w:rPr>
          <w:rFonts w:ascii="Times New Roman" w:eastAsia="Times New Roman" w:hAnsi="Times New Roman"/>
          <w:sz w:val="28"/>
          <w:lang w:val="cs-CZ"/>
        </w:rPr>
        <w:t xml:space="preserve"> v oblasti syntézy, charakterizace a následného testování bioaktivity léčiv s optickou kontrolou.</w:t>
      </w:r>
    </w:p>
    <w:p w14:paraId="4E94C484" w14:textId="77777777" w:rsidR="00FE19E8" w:rsidRPr="00E50A09" w:rsidRDefault="00FE19E8" w:rsidP="00E50A09">
      <w:pPr>
        <w:spacing w:line="276" w:lineRule="auto"/>
        <w:ind w:firstLine="360"/>
        <w:jc w:val="both"/>
        <w:rPr>
          <w:rFonts w:ascii="Times New Roman" w:eastAsia="Times New Roman" w:hAnsi="Times New Roman"/>
          <w:sz w:val="28"/>
          <w:lang w:val="cs-CZ"/>
        </w:rPr>
      </w:pPr>
    </w:p>
    <w:p w14:paraId="19DA3BA6" w14:textId="65B58424" w:rsidR="00FD7EA0" w:rsidRPr="00E50A09" w:rsidRDefault="005D6366" w:rsidP="00E50A09">
      <w:pPr>
        <w:spacing w:after="240" w:line="276" w:lineRule="auto"/>
        <w:ind w:firstLine="360"/>
        <w:jc w:val="both"/>
        <w:rPr>
          <w:rFonts w:ascii="Times New Roman" w:eastAsia="Times New Roman" w:hAnsi="Times New Roman"/>
          <w:sz w:val="28"/>
          <w:lang w:val="cs-CZ"/>
        </w:rPr>
      </w:pPr>
      <w:r w:rsidRPr="00E50A09">
        <w:rPr>
          <w:rFonts w:ascii="Times New Roman" w:eastAsia="Times New Roman" w:hAnsi="Times New Roman"/>
          <w:sz w:val="28"/>
          <w:lang w:val="cs-CZ"/>
        </w:rPr>
        <w:t>V rámci tohoto interního grantu byl</w:t>
      </w:r>
      <w:r w:rsidR="00DF1921" w:rsidRPr="00E50A09">
        <w:rPr>
          <w:rFonts w:ascii="Times New Roman" w:eastAsia="Times New Roman" w:hAnsi="Times New Roman"/>
          <w:sz w:val="28"/>
          <w:lang w:val="cs-CZ"/>
        </w:rPr>
        <w:t>a</w:t>
      </w:r>
      <w:r w:rsidRPr="00E50A09">
        <w:rPr>
          <w:rFonts w:ascii="Times New Roman" w:eastAsia="Times New Roman" w:hAnsi="Times New Roman"/>
          <w:sz w:val="28"/>
          <w:lang w:val="cs-CZ"/>
        </w:rPr>
        <w:t xml:space="preserve"> rovněž inovován</w:t>
      </w:r>
      <w:r w:rsidR="00DF1921" w:rsidRPr="00E50A09">
        <w:rPr>
          <w:rFonts w:ascii="Times New Roman" w:eastAsia="Times New Roman" w:hAnsi="Times New Roman"/>
          <w:sz w:val="28"/>
          <w:lang w:val="cs-CZ"/>
        </w:rPr>
        <w:t>a</w:t>
      </w:r>
      <w:r w:rsidRPr="00E50A09">
        <w:rPr>
          <w:rFonts w:ascii="Times New Roman" w:eastAsia="Times New Roman" w:hAnsi="Times New Roman"/>
          <w:sz w:val="28"/>
          <w:lang w:val="cs-CZ"/>
        </w:rPr>
        <w:t xml:space="preserve"> a optimalizován</w:t>
      </w:r>
      <w:r w:rsidR="00DF1921" w:rsidRPr="00E50A09">
        <w:rPr>
          <w:rFonts w:ascii="Times New Roman" w:eastAsia="Times New Roman" w:hAnsi="Times New Roman"/>
          <w:sz w:val="28"/>
          <w:lang w:val="cs-CZ"/>
        </w:rPr>
        <w:t>a</w:t>
      </w:r>
      <w:r w:rsidR="00771EEC" w:rsidRPr="00E50A09">
        <w:rPr>
          <w:rFonts w:ascii="Times New Roman" w:eastAsia="Times New Roman" w:hAnsi="Times New Roman"/>
          <w:sz w:val="28"/>
          <w:lang w:val="cs-CZ"/>
        </w:rPr>
        <w:t xml:space="preserve"> </w:t>
      </w:r>
      <w:r w:rsidR="00DF1921" w:rsidRPr="00E50A09">
        <w:rPr>
          <w:rFonts w:ascii="Times New Roman" w:eastAsia="Times New Roman" w:hAnsi="Times New Roman"/>
          <w:sz w:val="28"/>
          <w:lang w:val="cs-CZ"/>
        </w:rPr>
        <w:t xml:space="preserve">série </w:t>
      </w:r>
      <w:r w:rsidR="00771EEC" w:rsidRPr="00E50A09">
        <w:rPr>
          <w:rFonts w:ascii="Times New Roman" w:eastAsia="Times New Roman" w:hAnsi="Times New Roman"/>
          <w:sz w:val="28"/>
          <w:lang w:val="cs-CZ"/>
        </w:rPr>
        <w:t>experiment</w:t>
      </w:r>
      <w:r w:rsidR="00DF1921" w:rsidRPr="00E50A09">
        <w:rPr>
          <w:rFonts w:ascii="Times New Roman" w:eastAsia="Times New Roman" w:hAnsi="Times New Roman"/>
          <w:sz w:val="28"/>
          <w:lang w:val="cs-CZ"/>
        </w:rPr>
        <w:t>ů</w:t>
      </w:r>
      <w:r w:rsidR="00771EEC" w:rsidRPr="00E50A09">
        <w:rPr>
          <w:rFonts w:ascii="Times New Roman" w:eastAsia="Times New Roman" w:hAnsi="Times New Roman"/>
          <w:sz w:val="28"/>
          <w:lang w:val="cs-CZ"/>
        </w:rPr>
        <w:t xml:space="preserve"> vhodn</w:t>
      </w:r>
      <w:r w:rsidR="00DF1921" w:rsidRPr="00E50A09">
        <w:rPr>
          <w:rFonts w:ascii="Times New Roman" w:eastAsia="Times New Roman" w:hAnsi="Times New Roman"/>
          <w:sz w:val="28"/>
          <w:lang w:val="cs-CZ"/>
        </w:rPr>
        <w:t>á</w:t>
      </w:r>
      <w:r w:rsidR="00771EEC" w:rsidRPr="00E50A09">
        <w:rPr>
          <w:rFonts w:ascii="Times New Roman" w:eastAsia="Times New Roman" w:hAnsi="Times New Roman"/>
          <w:sz w:val="28"/>
          <w:lang w:val="cs-CZ"/>
        </w:rPr>
        <w:t xml:space="preserve"> pro demonstraci učiva posluchačům předmět</w:t>
      </w:r>
      <w:r w:rsidRPr="00E50A09">
        <w:rPr>
          <w:rFonts w:ascii="Times New Roman" w:eastAsia="Times New Roman" w:hAnsi="Times New Roman"/>
          <w:sz w:val="28"/>
          <w:lang w:val="cs-CZ"/>
        </w:rPr>
        <w:t>ů</w:t>
      </w:r>
      <w:r w:rsidR="00771EEC" w:rsidRPr="00E50A09">
        <w:rPr>
          <w:rFonts w:ascii="Times New Roman" w:eastAsia="Times New Roman" w:hAnsi="Times New Roman"/>
          <w:sz w:val="28"/>
          <w:lang w:val="cs-CZ"/>
        </w:rPr>
        <w:t xml:space="preserve"> CHS Chem</w:t>
      </w:r>
      <w:r w:rsidR="00B94A39" w:rsidRPr="00E50A09">
        <w:rPr>
          <w:rFonts w:ascii="Times New Roman" w:eastAsia="Times New Roman" w:hAnsi="Times New Roman"/>
          <w:sz w:val="28"/>
          <w:lang w:val="cs-CZ"/>
        </w:rPr>
        <w:t>ie</w:t>
      </w:r>
      <w:r w:rsidRPr="00E50A09">
        <w:rPr>
          <w:rFonts w:ascii="Times New Roman" w:eastAsia="Times New Roman" w:hAnsi="Times New Roman"/>
          <w:sz w:val="28"/>
          <w:lang w:val="cs-CZ"/>
        </w:rPr>
        <w:t xml:space="preserve"> a CHM Chemie materiálů</w:t>
      </w:r>
      <w:r w:rsidR="00B94A39" w:rsidRPr="00E50A09">
        <w:rPr>
          <w:rFonts w:ascii="Times New Roman" w:eastAsia="Times New Roman" w:hAnsi="Times New Roman"/>
          <w:sz w:val="28"/>
          <w:lang w:val="cs-CZ"/>
        </w:rPr>
        <w:t xml:space="preserve">. </w:t>
      </w:r>
      <w:r w:rsidR="00FD7EA0" w:rsidRPr="00E50A09">
        <w:rPr>
          <w:rFonts w:ascii="Times New Roman" w:eastAsia="Times New Roman" w:hAnsi="Times New Roman"/>
          <w:sz w:val="28"/>
          <w:lang w:val="cs-CZ"/>
        </w:rPr>
        <w:t>Jako vhodný inovační experiment se jeví demonstrace fungování acidobazického indikátoru fenolftaleinu, který je zodpovědný za efektní barevnou změnu prostředí v závislosti na měnící se hodnotě pH.</w:t>
      </w:r>
    </w:p>
    <w:p w14:paraId="39623FD3" w14:textId="733D780B" w:rsidR="005947C0" w:rsidRPr="00E50A09" w:rsidRDefault="005947C0" w:rsidP="00E50A09">
      <w:pPr>
        <w:spacing w:after="240" w:line="276" w:lineRule="auto"/>
        <w:ind w:firstLine="360"/>
        <w:jc w:val="both"/>
        <w:rPr>
          <w:rFonts w:ascii="Times New Roman" w:eastAsia="Times New Roman" w:hAnsi="Times New Roman"/>
          <w:b/>
          <w:sz w:val="28"/>
          <w:lang w:val="cs-CZ"/>
        </w:rPr>
      </w:pPr>
      <w:r w:rsidRPr="00E50A09">
        <w:rPr>
          <w:rFonts w:ascii="Times New Roman" w:eastAsia="Times New Roman" w:hAnsi="Times New Roman"/>
          <w:b/>
          <w:sz w:val="28"/>
          <w:lang w:val="cs-CZ"/>
        </w:rPr>
        <w:t>Výsledky a diskuse</w:t>
      </w:r>
    </w:p>
    <w:p w14:paraId="09374C5C" w14:textId="0D4C7FD3" w:rsidR="005947C0" w:rsidRPr="00E50A09" w:rsidRDefault="005D6366" w:rsidP="00E50A09">
      <w:pPr>
        <w:numPr>
          <w:ilvl w:val="0"/>
          <w:numId w:val="2"/>
        </w:numPr>
        <w:spacing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identifikace a stanovení různých polycyklických aromatických uhlovodíků v recyklátu z použitých pneumatik</w:t>
      </w:r>
    </w:p>
    <w:p w14:paraId="29791C92" w14:textId="31A8AD90" w:rsidR="00E97165" w:rsidRPr="00E50A09" w:rsidRDefault="005D6366" w:rsidP="00E50A09">
      <w:pPr>
        <w:numPr>
          <w:ilvl w:val="0"/>
          <w:numId w:val="2"/>
        </w:numPr>
        <w:spacing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budoucí publikace získaných výsledku této analýzy v mezinárodních impaktovaných periodicích</w:t>
      </w:r>
    </w:p>
    <w:p w14:paraId="2F1749C7" w14:textId="17AA6A06" w:rsidR="005D6366" w:rsidRPr="00E50A09" w:rsidRDefault="00033295" w:rsidP="00E50A09">
      <w:pPr>
        <w:numPr>
          <w:ilvl w:val="0"/>
          <w:numId w:val="2"/>
        </w:numPr>
        <w:spacing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 xml:space="preserve">spoluautorství </w:t>
      </w:r>
      <w:r w:rsidR="000B6125" w:rsidRPr="00E50A09">
        <w:rPr>
          <w:rFonts w:ascii="Times New Roman" w:eastAsia="Times New Roman" w:hAnsi="Times New Roman"/>
          <w:sz w:val="28"/>
          <w:lang w:val="cs-CZ"/>
        </w:rPr>
        <w:t xml:space="preserve">na dvou publikacích v periodicích </w:t>
      </w:r>
      <w:r w:rsidR="001415F0" w:rsidRPr="00E50A09">
        <w:rPr>
          <w:rFonts w:ascii="Times New Roman" w:eastAsia="Times New Roman" w:hAnsi="Times New Roman"/>
          <w:sz w:val="28"/>
          <w:lang w:val="cs-CZ"/>
        </w:rPr>
        <w:t>FlatChem – Chemistry of Flat Materials (Q1, IF = 3,910) a ChemPlusChem (Q2, IF = 2,753)</w:t>
      </w:r>
    </w:p>
    <w:p w14:paraId="2649DAE4" w14:textId="0118DB7B" w:rsidR="00A04BBD" w:rsidRPr="00E50A09" w:rsidRDefault="005D6366" w:rsidP="00E50A09">
      <w:pPr>
        <w:numPr>
          <w:ilvl w:val="0"/>
          <w:numId w:val="2"/>
        </w:numPr>
        <w:spacing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inovace a optimalizace</w:t>
      </w:r>
      <w:r w:rsidR="00A04BBD" w:rsidRPr="00E50A09">
        <w:rPr>
          <w:rFonts w:ascii="Times New Roman" w:eastAsia="Times New Roman" w:hAnsi="Times New Roman"/>
          <w:sz w:val="28"/>
          <w:lang w:val="cs-CZ"/>
        </w:rPr>
        <w:t xml:space="preserve"> experimentů </w:t>
      </w:r>
      <w:r w:rsidR="00A04BBD" w:rsidRPr="00E50A09">
        <w:rPr>
          <w:rFonts w:ascii="Times New Roman" w:hAnsi="Times New Roman" w:cs="Times New Roman"/>
          <w:sz w:val="28"/>
          <w:szCs w:val="28"/>
          <w:lang w:val="cs-CZ"/>
        </w:rPr>
        <w:t>určených k demonstraci učiva probíraného v rámci předmětu VŠTE CHS Chemie</w:t>
      </w:r>
      <w:r w:rsidRPr="00E50A09">
        <w:rPr>
          <w:rFonts w:ascii="Times New Roman" w:hAnsi="Times New Roman" w:cs="Times New Roman"/>
          <w:sz w:val="28"/>
          <w:szCs w:val="28"/>
          <w:lang w:val="cs-CZ"/>
        </w:rPr>
        <w:t xml:space="preserve"> a CHM Chemie materiálů</w:t>
      </w:r>
    </w:p>
    <w:p w14:paraId="7A5F2C19" w14:textId="7269B562" w:rsidR="005947C0" w:rsidRPr="00E50A09" w:rsidRDefault="001415F0" w:rsidP="00E50A09">
      <w:pPr>
        <w:numPr>
          <w:ilvl w:val="0"/>
          <w:numId w:val="2"/>
        </w:numPr>
        <w:spacing w:after="240" w:line="276" w:lineRule="auto"/>
        <w:jc w:val="both"/>
        <w:rPr>
          <w:rFonts w:ascii="Times New Roman" w:eastAsia="Times New Roman" w:hAnsi="Times New Roman"/>
          <w:sz w:val="28"/>
          <w:lang w:val="cs-CZ"/>
        </w:rPr>
      </w:pPr>
      <w:r w:rsidRPr="00E50A09">
        <w:rPr>
          <w:rFonts w:ascii="Times New Roman" w:hAnsi="Times New Roman" w:cs="Times New Roman"/>
          <w:sz w:val="28"/>
          <w:szCs w:val="28"/>
          <w:lang w:val="cs-CZ"/>
        </w:rPr>
        <w:t>zmíněné</w:t>
      </w:r>
      <w:r w:rsidR="00771EEC" w:rsidRPr="00E50A09">
        <w:rPr>
          <w:rFonts w:ascii="Times New Roman" w:hAnsi="Times New Roman" w:cs="Times New Roman"/>
          <w:sz w:val="28"/>
          <w:szCs w:val="28"/>
          <w:lang w:val="cs-CZ"/>
        </w:rPr>
        <w:t xml:space="preserve"> experiment</w:t>
      </w:r>
      <w:r w:rsidR="001E48B8" w:rsidRPr="00E50A09">
        <w:rPr>
          <w:rFonts w:ascii="Times New Roman" w:hAnsi="Times New Roman" w:cs="Times New Roman"/>
          <w:sz w:val="28"/>
          <w:szCs w:val="28"/>
          <w:lang w:val="cs-CZ"/>
        </w:rPr>
        <w:t>y</w:t>
      </w:r>
      <w:r w:rsidR="00771EEC" w:rsidRPr="00E50A09">
        <w:rPr>
          <w:rFonts w:ascii="Times New Roman" w:hAnsi="Times New Roman" w:cs="Times New Roman"/>
          <w:sz w:val="28"/>
          <w:szCs w:val="28"/>
          <w:lang w:val="cs-CZ"/>
        </w:rPr>
        <w:t xml:space="preserve"> b</w:t>
      </w:r>
      <w:r w:rsidRPr="00E50A09">
        <w:rPr>
          <w:rFonts w:ascii="Times New Roman" w:hAnsi="Times New Roman" w:cs="Times New Roman"/>
          <w:sz w:val="28"/>
          <w:szCs w:val="28"/>
          <w:lang w:val="cs-CZ"/>
        </w:rPr>
        <w:t>udou</w:t>
      </w:r>
      <w:r w:rsidR="00771EEC" w:rsidRPr="00E50A09">
        <w:rPr>
          <w:rFonts w:ascii="Times New Roman" w:hAnsi="Times New Roman" w:cs="Times New Roman"/>
          <w:sz w:val="28"/>
          <w:szCs w:val="28"/>
          <w:lang w:val="cs-CZ"/>
        </w:rPr>
        <w:t xml:space="preserve"> dále využity a veřejnosti demonstrovány v rámci Noci vědců </w:t>
      </w:r>
      <w:r w:rsidR="00E97165" w:rsidRPr="00E50A09">
        <w:rPr>
          <w:rFonts w:ascii="Times New Roman" w:hAnsi="Times New Roman" w:cs="Times New Roman"/>
          <w:sz w:val="28"/>
          <w:szCs w:val="28"/>
          <w:lang w:val="cs-CZ"/>
        </w:rPr>
        <w:t xml:space="preserve">dne 27. </w:t>
      </w:r>
      <w:r w:rsidRPr="00E50A09">
        <w:rPr>
          <w:rFonts w:ascii="Times New Roman" w:hAnsi="Times New Roman" w:cs="Times New Roman"/>
          <w:sz w:val="28"/>
          <w:szCs w:val="28"/>
          <w:lang w:val="cs-CZ"/>
        </w:rPr>
        <w:t>11</w:t>
      </w:r>
      <w:r w:rsidR="00E97165" w:rsidRPr="00E50A09">
        <w:rPr>
          <w:rFonts w:ascii="Times New Roman" w:hAnsi="Times New Roman" w:cs="Times New Roman"/>
          <w:sz w:val="28"/>
          <w:szCs w:val="28"/>
          <w:lang w:val="cs-CZ"/>
        </w:rPr>
        <w:t>. 20</w:t>
      </w:r>
      <w:r w:rsidRPr="00E50A09">
        <w:rPr>
          <w:rFonts w:ascii="Times New Roman" w:hAnsi="Times New Roman" w:cs="Times New Roman"/>
          <w:sz w:val="28"/>
          <w:szCs w:val="28"/>
          <w:lang w:val="cs-CZ"/>
        </w:rPr>
        <w:t>20</w:t>
      </w:r>
    </w:p>
    <w:p w14:paraId="302BC207" w14:textId="77777777" w:rsidR="005947C0" w:rsidRPr="00E50A09" w:rsidRDefault="005947C0" w:rsidP="00E50A09">
      <w:pPr>
        <w:numPr>
          <w:ilvl w:val="0"/>
          <w:numId w:val="1"/>
        </w:numPr>
        <w:tabs>
          <w:tab w:val="left" w:pos="284"/>
        </w:tabs>
        <w:spacing w:line="276" w:lineRule="auto"/>
        <w:ind w:left="284" w:hanging="284"/>
        <w:jc w:val="both"/>
        <w:rPr>
          <w:rFonts w:ascii="Times New Roman" w:eastAsia="Times New Roman" w:hAnsi="Times New Roman"/>
          <w:b/>
          <w:sz w:val="28"/>
          <w:lang w:val="cs-CZ"/>
        </w:rPr>
      </w:pPr>
      <w:r w:rsidRPr="00E50A09">
        <w:rPr>
          <w:rFonts w:ascii="Times New Roman" w:eastAsia="Times New Roman" w:hAnsi="Times New Roman"/>
          <w:b/>
          <w:sz w:val="28"/>
          <w:lang w:val="cs-CZ"/>
        </w:rPr>
        <w:t>Hlavní přínosy řešení</w:t>
      </w:r>
    </w:p>
    <w:p w14:paraId="19BF65A1" w14:textId="77777777" w:rsidR="005947C0" w:rsidRPr="00E50A09" w:rsidRDefault="005947C0" w:rsidP="00E50A09">
      <w:pPr>
        <w:spacing w:line="276" w:lineRule="auto"/>
        <w:jc w:val="both"/>
        <w:rPr>
          <w:rFonts w:ascii="Times New Roman" w:eastAsia="Times New Roman" w:hAnsi="Times New Roman"/>
          <w:b/>
          <w:sz w:val="28"/>
          <w:lang w:val="cs-CZ"/>
        </w:rPr>
      </w:pPr>
    </w:p>
    <w:p w14:paraId="5EAA9838" w14:textId="42995375" w:rsidR="005947C0" w:rsidRPr="00E50A09" w:rsidRDefault="00FD1C75" w:rsidP="00E50A09">
      <w:pPr>
        <w:numPr>
          <w:ilvl w:val="0"/>
          <w:numId w:val="2"/>
        </w:numPr>
        <w:spacing w:line="276" w:lineRule="auto"/>
        <w:jc w:val="both"/>
        <w:rPr>
          <w:rFonts w:ascii="Times New Roman" w:eastAsia="Times New Roman" w:hAnsi="Times New Roman"/>
          <w:sz w:val="28"/>
          <w:lang w:val="cs-CZ"/>
        </w:rPr>
      </w:pPr>
      <w:r w:rsidRPr="00E50A09">
        <w:rPr>
          <w:rFonts w:ascii="Times New Roman" w:eastAsia="Times New Roman" w:hAnsi="Times New Roman"/>
          <w:sz w:val="28"/>
          <w:lang w:val="cs-CZ"/>
        </w:rPr>
        <w:t>zvýšení publikační aktivity pracovní skupiny materiálového centra</w:t>
      </w:r>
      <w:r w:rsidR="005D40E7">
        <w:rPr>
          <w:rFonts w:ascii="Times New Roman" w:eastAsia="Times New Roman" w:hAnsi="Times New Roman"/>
          <w:sz w:val="28"/>
          <w:lang w:val="cs-CZ"/>
        </w:rPr>
        <w:t>,</w:t>
      </w:r>
      <w:r w:rsidRPr="00E50A09">
        <w:rPr>
          <w:rFonts w:ascii="Times New Roman" w:eastAsia="Times New Roman" w:hAnsi="Times New Roman"/>
          <w:sz w:val="28"/>
          <w:lang w:val="cs-CZ"/>
        </w:rPr>
        <w:t xml:space="preserve"> resp. VŠTE</w:t>
      </w:r>
    </w:p>
    <w:p w14:paraId="519E882A" w14:textId="77777777" w:rsidR="00FD1C75" w:rsidRPr="00E50A09" w:rsidRDefault="00FD1C75" w:rsidP="00E50A09">
      <w:pPr>
        <w:numPr>
          <w:ilvl w:val="0"/>
          <w:numId w:val="2"/>
        </w:numPr>
        <w:spacing w:line="276" w:lineRule="auto"/>
        <w:jc w:val="both"/>
        <w:rPr>
          <w:rFonts w:ascii="Times New Roman" w:eastAsia="Times New Roman" w:hAnsi="Times New Roman" w:cs="Times New Roman"/>
          <w:b/>
          <w:sz w:val="28"/>
          <w:szCs w:val="28"/>
          <w:lang w:val="cs-CZ"/>
        </w:rPr>
      </w:pPr>
      <w:r w:rsidRPr="00E50A09">
        <w:rPr>
          <w:rFonts w:ascii="Times New Roman" w:hAnsi="Times New Roman" w:cs="Times New Roman"/>
          <w:sz w:val="28"/>
          <w:szCs w:val="28"/>
          <w:lang w:val="cs-CZ"/>
        </w:rPr>
        <w:t>podpora výuky základů chemie pro studenty prezenční i kombinované formy</w:t>
      </w:r>
    </w:p>
    <w:p w14:paraId="49DA9BB5" w14:textId="0FC8E5FC" w:rsidR="00FD1C75" w:rsidRPr="00E50A09" w:rsidRDefault="00FD1C75" w:rsidP="00E50A09">
      <w:pPr>
        <w:numPr>
          <w:ilvl w:val="0"/>
          <w:numId w:val="2"/>
        </w:numPr>
        <w:spacing w:line="276" w:lineRule="auto"/>
        <w:jc w:val="both"/>
        <w:rPr>
          <w:rFonts w:ascii="Times New Roman" w:eastAsia="Times New Roman" w:hAnsi="Times New Roman" w:cs="Times New Roman"/>
          <w:b/>
          <w:sz w:val="28"/>
          <w:szCs w:val="28"/>
          <w:lang w:val="cs-CZ"/>
        </w:rPr>
      </w:pPr>
      <w:r w:rsidRPr="00E50A09">
        <w:rPr>
          <w:rFonts w:ascii="Times New Roman" w:hAnsi="Times New Roman" w:cs="Times New Roman"/>
          <w:sz w:val="28"/>
          <w:szCs w:val="28"/>
          <w:lang w:val="cs-CZ"/>
        </w:rPr>
        <w:t>podpora spolupráce jednotlivých pracovišť VŠTE</w:t>
      </w:r>
    </w:p>
    <w:p w14:paraId="292BA600" w14:textId="688F583A" w:rsidR="007D6226" w:rsidRPr="00E50A09" w:rsidRDefault="007D6226" w:rsidP="00E50A09">
      <w:pPr>
        <w:numPr>
          <w:ilvl w:val="0"/>
          <w:numId w:val="2"/>
        </w:numPr>
        <w:spacing w:line="276" w:lineRule="auto"/>
        <w:jc w:val="both"/>
        <w:rPr>
          <w:rFonts w:ascii="Times New Roman" w:eastAsia="Times New Roman" w:hAnsi="Times New Roman" w:cs="Times New Roman"/>
          <w:b/>
          <w:sz w:val="28"/>
          <w:szCs w:val="28"/>
          <w:lang w:val="cs-CZ"/>
        </w:rPr>
      </w:pPr>
      <w:r w:rsidRPr="00E50A09">
        <w:rPr>
          <w:rFonts w:ascii="Times New Roman" w:hAnsi="Times New Roman" w:cs="Times New Roman"/>
          <w:sz w:val="28"/>
          <w:szCs w:val="28"/>
          <w:lang w:val="cs-CZ"/>
        </w:rPr>
        <w:t>podpora spolupráce materiálového centra VŠTE s dalšími univerzitami v České republice</w:t>
      </w:r>
    </w:p>
    <w:p w14:paraId="4E40650D" w14:textId="34E01B34" w:rsidR="00E50A09" w:rsidRDefault="00FD1C75" w:rsidP="00E50A09">
      <w:pPr>
        <w:numPr>
          <w:ilvl w:val="0"/>
          <w:numId w:val="2"/>
        </w:numPr>
        <w:spacing w:after="240" w:line="276" w:lineRule="auto"/>
        <w:jc w:val="both"/>
        <w:rPr>
          <w:rFonts w:ascii="Times New Roman" w:eastAsia="Times New Roman" w:hAnsi="Times New Roman" w:cs="Times New Roman"/>
          <w:sz w:val="28"/>
          <w:szCs w:val="28"/>
          <w:lang w:val="cs-CZ"/>
        </w:rPr>
      </w:pPr>
      <w:r w:rsidRPr="00E50A09">
        <w:rPr>
          <w:rFonts w:ascii="Times New Roman" w:eastAsia="Times New Roman" w:hAnsi="Times New Roman" w:cs="Times New Roman"/>
          <w:sz w:val="28"/>
          <w:szCs w:val="28"/>
          <w:lang w:val="cs-CZ"/>
        </w:rPr>
        <w:t>zajištění chodu laboratoř</w:t>
      </w:r>
      <w:r w:rsidR="00A77B05" w:rsidRPr="00E50A09">
        <w:rPr>
          <w:rFonts w:ascii="Times New Roman" w:eastAsia="Times New Roman" w:hAnsi="Times New Roman" w:cs="Times New Roman"/>
          <w:sz w:val="28"/>
          <w:szCs w:val="28"/>
          <w:lang w:val="cs-CZ"/>
        </w:rPr>
        <w:t>í</w:t>
      </w:r>
      <w:r w:rsidRPr="00E50A09">
        <w:rPr>
          <w:rFonts w:ascii="Times New Roman" w:eastAsia="Times New Roman" w:hAnsi="Times New Roman" w:cs="Times New Roman"/>
          <w:sz w:val="28"/>
          <w:szCs w:val="28"/>
          <w:lang w:val="cs-CZ"/>
        </w:rPr>
        <w:t xml:space="preserve"> </w:t>
      </w:r>
      <w:r w:rsidR="00E97165" w:rsidRPr="00E50A09">
        <w:rPr>
          <w:rFonts w:ascii="Times New Roman" w:eastAsia="Times New Roman" w:hAnsi="Times New Roman" w:cs="Times New Roman"/>
          <w:sz w:val="28"/>
          <w:szCs w:val="28"/>
          <w:lang w:val="cs-CZ"/>
        </w:rPr>
        <w:t>materi</w:t>
      </w:r>
      <w:r w:rsidRPr="00E50A09">
        <w:rPr>
          <w:rFonts w:ascii="Times New Roman" w:eastAsia="Times New Roman" w:hAnsi="Times New Roman" w:cs="Times New Roman"/>
          <w:sz w:val="28"/>
          <w:szCs w:val="28"/>
          <w:lang w:val="cs-CZ"/>
        </w:rPr>
        <w:t>á</w:t>
      </w:r>
      <w:r w:rsidR="00E97165" w:rsidRPr="00E50A09">
        <w:rPr>
          <w:rFonts w:ascii="Times New Roman" w:eastAsia="Times New Roman" w:hAnsi="Times New Roman" w:cs="Times New Roman"/>
          <w:sz w:val="28"/>
          <w:szCs w:val="28"/>
          <w:lang w:val="cs-CZ"/>
        </w:rPr>
        <w:t>l</w:t>
      </w:r>
      <w:r w:rsidRPr="00E50A09">
        <w:rPr>
          <w:rFonts w:ascii="Times New Roman" w:eastAsia="Times New Roman" w:hAnsi="Times New Roman" w:cs="Times New Roman"/>
          <w:sz w:val="28"/>
          <w:szCs w:val="28"/>
          <w:lang w:val="cs-CZ"/>
        </w:rPr>
        <w:t xml:space="preserve">ového centra </w:t>
      </w:r>
      <w:r w:rsidR="00A77B05" w:rsidRPr="00E50A09">
        <w:rPr>
          <w:rFonts w:ascii="Times New Roman" w:eastAsia="Times New Roman" w:hAnsi="Times New Roman" w:cs="Times New Roman"/>
          <w:sz w:val="28"/>
          <w:szCs w:val="28"/>
          <w:lang w:val="cs-CZ"/>
        </w:rPr>
        <w:t>a analýzy materiálů pro vědecko</w:t>
      </w:r>
      <w:r w:rsidR="00A77B05" w:rsidRPr="00E50A09">
        <w:rPr>
          <w:rFonts w:ascii="Times New Roman" w:eastAsia="Times New Roman" w:hAnsi="Times New Roman" w:cs="Times New Roman"/>
          <w:sz w:val="28"/>
          <w:szCs w:val="28"/>
          <w:lang w:val="cs-CZ"/>
        </w:rPr>
        <w:noBreakHyphen/>
        <w:t>výzk</w:t>
      </w:r>
      <w:r w:rsidR="00E97165" w:rsidRPr="00E50A09">
        <w:rPr>
          <w:rFonts w:ascii="Times New Roman" w:eastAsia="Times New Roman" w:hAnsi="Times New Roman" w:cs="Times New Roman"/>
          <w:sz w:val="28"/>
          <w:szCs w:val="28"/>
          <w:lang w:val="cs-CZ"/>
        </w:rPr>
        <w:t>u</w:t>
      </w:r>
      <w:r w:rsidR="00A77B05" w:rsidRPr="00E50A09">
        <w:rPr>
          <w:rFonts w:ascii="Times New Roman" w:eastAsia="Times New Roman" w:hAnsi="Times New Roman" w:cs="Times New Roman"/>
          <w:sz w:val="28"/>
          <w:szCs w:val="28"/>
          <w:lang w:val="cs-CZ"/>
        </w:rPr>
        <w:t>mnou činnost, interní a externí spolupráci</w:t>
      </w:r>
    </w:p>
    <w:p w14:paraId="148067BE" w14:textId="77777777" w:rsidR="00E50A09" w:rsidRPr="00E50A09" w:rsidRDefault="00E50A09" w:rsidP="00E50A09">
      <w:pPr>
        <w:spacing w:after="240" w:line="276" w:lineRule="auto"/>
        <w:ind w:left="644"/>
        <w:jc w:val="both"/>
        <w:rPr>
          <w:rFonts w:ascii="Times New Roman" w:eastAsia="Times New Roman" w:hAnsi="Times New Roman" w:cs="Times New Roman"/>
          <w:sz w:val="28"/>
          <w:szCs w:val="28"/>
          <w:lang w:val="cs-CZ"/>
        </w:rPr>
      </w:pPr>
    </w:p>
    <w:p w14:paraId="6EE2732E" w14:textId="77777777" w:rsidR="005947C0" w:rsidRPr="00E50A09" w:rsidRDefault="005947C0" w:rsidP="00E50A09">
      <w:pPr>
        <w:numPr>
          <w:ilvl w:val="0"/>
          <w:numId w:val="1"/>
        </w:numPr>
        <w:tabs>
          <w:tab w:val="left" w:pos="284"/>
        </w:tabs>
        <w:spacing w:line="276" w:lineRule="auto"/>
        <w:ind w:left="284" w:hanging="284"/>
        <w:jc w:val="both"/>
        <w:rPr>
          <w:rFonts w:ascii="Times New Roman" w:eastAsia="Times New Roman" w:hAnsi="Times New Roman"/>
          <w:b/>
          <w:sz w:val="28"/>
          <w:lang w:val="cs-CZ"/>
        </w:rPr>
      </w:pPr>
      <w:r w:rsidRPr="00E50A09">
        <w:rPr>
          <w:rFonts w:ascii="Times New Roman" w:eastAsia="Times New Roman" w:hAnsi="Times New Roman"/>
          <w:b/>
          <w:sz w:val="28"/>
          <w:lang w:val="cs-CZ"/>
        </w:rPr>
        <w:lastRenderedPageBreak/>
        <w:t>Závěr</w:t>
      </w:r>
    </w:p>
    <w:p w14:paraId="00699CA2" w14:textId="77777777" w:rsidR="005947C0" w:rsidRPr="00E50A09" w:rsidRDefault="005947C0" w:rsidP="00E50A09">
      <w:pPr>
        <w:spacing w:line="276" w:lineRule="auto"/>
        <w:jc w:val="both"/>
        <w:rPr>
          <w:rFonts w:ascii="Times New Roman" w:eastAsia="Times New Roman" w:hAnsi="Times New Roman"/>
          <w:b/>
          <w:sz w:val="28"/>
          <w:lang w:val="cs-CZ"/>
        </w:rPr>
      </w:pPr>
    </w:p>
    <w:p w14:paraId="596472C6" w14:textId="12E44D0D" w:rsidR="003A0611" w:rsidRDefault="00A77B05" w:rsidP="00E50A09">
      <w:pPr>
        <w:spacing w:after="240" w:line="276" w:lineRule="auto"/>
        <w:ind w:firstLine="284"/>
        <w:jc w:val="both"/>
        <w:rPr>
          <w:rFonts w:ascii="Times New Roman" w:eastAsia="Times New Roman" w:hAnsi="Times New Roman"/>
          <w:sz w:val="28"/>
          <w:lang w:val="cs-CZ"/>
        </w:rPr>
      </w:pPr>
      <w:r w:rsidRPr="00E50A09">
        <w:rPr>
          <w:rFonts w:ascii="Times New Roman" w:eastAsia="Times New Roman" w:hAnsi="Times New Roman"/>
          <w:sz w:val="28"/>
          <w:lang w:val="cs-CZ"/>
        </w:rPr>
        <w:t>V rámci interního grantu č. 8210</w:t>
      </w:r>
      <w:r w:rsidRPr="00E50A09">
        <w:rPr>
          <w:rFonts w:ascii="Times New Roman" w:eastAsia="Times New Roman" w:hAnsi="Times New Roman"/>
          <w:sz w:val="28"/>
          <w:lang w:val="cs-CZ"/>
        </w:rPr>
        <w:noBreakHyphen/>
        <w:t>0</w:t>
      </w:r>
      <w:r w:rsidR="007D6226" w:rsidRPr="00E50A09">
        <w:rPr>
          <w:rFonts w:ascii="Times New Roman" w:eastAsia="Times New Roman" w:hAnsi="Times New Roman"/>
          <w:sz w:val="28"/>
          <w:lang w:val="cs-CZ"/>
        </w:rPr>
        <w:t>13</w:t>
      </w:r>
      <w:r w:rsidRPr="00E50A09">
        <w:rPr>
          <w:rFonts w:ascii="Times New Roman" w:eastAsia="Times New Roman" w:hAnsi="Times New Roman"/>
          <w:sz w:val="28"/>
          <w:lang w:val="cs-CZ"/>
        </w:rPr>
        <w:t>/20</w:t>
      </w:r>
      <w:r w:rsidR="007D6226" w:rsidRPr="00E50A09">
        <w:rPr>
          <w:rFonts w:ascii="Times New Roman" w:eastAsia="Times New Roman" w:hAnsi="Times New Roman"/>
          <w:sz w:val="28"/>
          <w:lang w:val="cs-CZ"/>
        </w:rPr>
        <w:t>20</w:t>
      </w:r>
      <w:r w:rsidRPr="00E50A09">
        <w:rPr>
          <w:rFonts w:ascii="Times New Roman" w:eastAsia="Times New Roman" w:hAnsi="Times New Roman"/>
          <w:sz w:val="28"/>
          <w:lang w:val="cs-CZ"/>
        </w:rPr>
        <w:t xml:space="preserve"> byl</w:t>
      </w:r>
      <w:r w:rsidR="008102CC" w:rsidRPr="00E50A09">
        <w:rPr>
          <w:rFonts w:ascii="Times New Roman" w:eastAsia="Times New Roman" w:hAnsi="Times New Roman"/>
          <w:sz w:val="28"/>
          <w:lang w:val="cs-CZ"/>
        </w:rPr>
        <w:t>o</w:t>
      </w:r>
      <w:r w:rsidRPr="00E50A09">
        <w:rPr>
          <w:rFonts w:ascii="Times New Roman" w:eastAsia="Times New Roman" w:hAnsi="Times New Roman"/>
          <w:sz w:val="28"/>
          <w:lang w:val="cs-CZ"/>
        </w:rPr>
        <w:t xml:space="preserve"> pořízen</w:t>
      </w:r>
      <w:r w:rsidR="008102CC" w:rsidRPr="00E50A09">
        <w:rPr>
          <w:rFonts w:ascii="Times New Roman" w:eastAsia="Times New Roman" w:hAnsi="Times New Roman"/>
          <w:sz w:val="28"/>
          <w:lang w:val="cs-CZ"/>
        </w:rPr>
        <w:t>o</w:t>
      </w:r>
      <w:r w:rsidRPr="00E50A09">
        <w:rPr>
          <w:rFonts w:ascii="Times New Roman" w:eastAsia="Times New Roman" w:hAnsi="Times New Roman"/>
          <w:sz w:val="28"/>
          <w:lang w:val="cs-CZ"/>
        </w:rPr>
        <w:t xml:space="preserve"> laboratorní vybavení pro experimenty demonstrující náplň předmět</w:t>
      </w:r>
      <w:r w:rsidR="008102CC" w:rsidRPr="00E50A09">
        <w:rPr>
          <w:rFonts w:ascii="Times New Roman" w:eastAsia="Times New Roman" w:hAnsi="Times New Roman"/>
          <w:sz w:val="28"/>
          <w:lang w:val="cs-CZ"/>
        </w:rPr>
        <w:t>ů</w:t>
      </w:r>
      <w:r w:rsidRPr="00E50A09">
        <w:rPr>
          <w:rFonts w:ascii="Times New Roman" w:eastAsia="Times New Roman" w:hAnsi="Times New Roman"/>
          <w:sz w:val="28"/>
          <w:lang w:val="cs-CZ"/>
        </w:rPr>
        <w:t xml:space="preserve"> CHS Chemie</w:t>
      </w:r>
      <w:r w:rsidR="008102CC" w:rsidRPr="00E50A09">
        <w:rPr>
          <w:rFonts w:ascii="Times New Roman" w:eastAsia="Times New Roman" w:hAnsi="Times New Roman"/>
          <w:sz w:val="28"/>
          <w:lang w:val="cs-CZ"/>
        </w:rPr>
        <w:t xml:space="preserve"> a CHM Chemie materiálů a rovněž laboratorní vybavení umožňující chod materiálového centra VŠTE</w:t>
      </w:r>
      <w:r w:rsidRPr="00E50A09">
        <w:rPr>
          <w:rFonts w:ascii="Times New Roman" w:eastAsia="Times New Roman" w:hAnsi="Times New Roman"/>
          <w:sz w:val="28"/>
          <w:lang w:val="cs-CZ"/>
        </w:rPr>
        <w:t xml:space="preserve">. </w:t>
      </w:r>
      <w:r w:rsidR="008102CC" w:rsidRPr="00E50A09">
        <w:rPr>
          <w:rFonts w:ascii="Times New Roman" w:eastAsia="Times New Roman" w:hAnsi="Times New Roman"/>
          <w:sz w:val="28"/>
          <w:lang w:val="cs-CZ"/>
        </w:rPr>
        <w:t>Tento interní grant dále podpořil spolupráci pracovní skupiny materiálového centra VŠTE na různých výzkumných projektech jak s dalšími univerzitami</w:t>
      </w:r>
      <w:r w:rsidR="002422FC" w:rsidRPr="00E50A09">
        <w:rPr>
          <w:rFonts w:ascii="Times New Roman" w:eastAsia="Times New Roman" w:hAnsi="Times New Roman"/>
          <w:sz w:val="28"/>
          <w:lang w:val="cs-CZ"/>
        </w:rPr>
        <w:t xml:space="preserve"> </w:t>
      </w:r>
      <w:r w:rsidR="008102CC" w:rsidRPr="00E50A09">
        <w:rPr>
          <w:rFonts w:ascii="Times New Roman" w:eastAsia="Times New Roman" w:hAnsi="Times New Roman"/>
          <w:sz w:val="28"/>
          <w:lang w:val="cs-CZ"/>
        </w:rPr>
        <w:t>v České republice</w:t>
      </w:r>
      <w:r w:rsidR="00C50381" w:rsidRPr="00E50A09">
        <w:rPr>
          <w:rFonts w:ascii="Times New Roman" w:eastAsia="Times New Roman" w:hAnsi="Times New Roman"/>
          <w:sz w:val="28"/>
          <w:lang w:val="cs-CZ"/>
        </w:rPr>
        <w:t>,</w:t>
      </w:r>
      <w:r w:rsidR="008102CC" w:rsidRPr="00E50A09">
        <w:rPr>
          <w:rFonts w:ascii="Times New Roman" w:eastAsia="Times New Roman" w:hAnsi="Times New Roman"/>
          <w:sz w:val="28"/>
          <w:lang w:val="cs-CZ"/>
        </w:rPr>
        <w:t xml:space="preserve"> tak i v rámci jednotlivých pracovišť Vysoké školy technické a ekonomické v Českých Budějovicích.</w:t>
      </w:r>
    </w:p>
    <w:p w14:paraId="5B6CB560" w14:textId="77777777" w:rsidR="00E50A09" w:rsidRPr="00E50A09" w:rsidRDefault="00E50A09" w:rsidP="00E50A09">
      <w:pPr>
        <w:spacing w:after="240" w:line="276" w:lineRule="auto"/>
        <w:ind w:firstLine="284"/>
        <w:jc w:val="both"/>
        <w:rPr>
          <w:rFonts w:ascii="Times New Roman" w:eastAsia="Times New Roman" w:hAnsi="Times New Roman"/>
          <w:sz w:val="28"/>
          <w:lang w:val="cs-CZ"/>
        </w:rPr>
      </w:pPr>
    </w:p>
    <w:p w14:paraId="2234C7C8" w14:textId="2F5E2FBF" w:rsidR="005947C0" w:rsidRPr="00E50A09" w:rsidRDefault="005947C0" w:rsidP="00E50A09">
      <w:pPr>
        <w:numPr>
          <w:ilvl w:val="0"/>
          <w:numId w:val="1"/>
        </w:numPr>
        <w:tabs>
          <w:tab w:val="left" w:pos="284"/>
        </w:tabs>
        <w:spacing w:after="240" w:line="276" w:lineRule="auto"/>
        <w:ind w:left="284" w:hanging="284"/>
        <w:jc w:val="both"/>
        <w:rPr>
          <w:rFonts w:ascii="Times New Roman" w:eastAsia="Times New Roman" w:hAnsi="Times New Roman"/>
          <w:b/>
          <w:sz w:val="28"/>
          <w:lang w:val="cs-CZ"/>
        </w:rPr>
      </w:pPr>
      <w:r w:rsidRPr="00E50A09">
        <w:rPr>
          <w:rFonts w:ascii="Times New Roman" w:eastAsia="Times New Roman" w:hAnsi="Times New Roman"/>
          <w:b/>
          <w:sz w:val="28"/>
          <w:lang w:val="cs-CZ"/>
        </w:rPr>
        <w:t>Použité zdroje</w:t>
      </w:r>
    </w:p>
    <w:p w14:paraId="156A7F31" w14:textId="01B8ECDA" w:rsidR="00C50381" w:rsidRPr="00E50A09" w:rsidRDefault="002C6F88" w:rsidP="00E50A09">
      <w:pPr>
        <w:widowControl w:val="0"/>
        <w:autoSpaceDE w:val="0"/>
        <w:autoSpaceDN w:val="0"/>
        <w:adjustRightInd w:val="0"/>
        <w:spacing w:after="240" w:line="276" w:lineRule="auto"/>
        <w:ind w:left="640" w:hanging="640"/>
        <w:jc w:val="both"/>
        <w:rPr>
          <w:rFonts w:ascii="Times New Roman" w:hAnsi="Times New Roman" w:cs="Times New Roman"/>
          <w:noProof/>
          <w:sz w:val="28"/>
          <w:szCs w:val="24"/>
        </w:rPr>
      </w:pPr>
      <w:r w:rsidRPr="00E50A09">
        <w:rPr>
          <w:rFonts w:ascii="Times New Roman" w:eastAsia="Times New Roman" w:hAnsi="Times New Roman"/>
          <w:b/>
          <w:sz w:val="28"/>
          <w:lang w:val="cs-CZ"/>
        </w:rPr>
        <w:fldChar w:fldCharType="begin" w:fldLock="1"/>
      </w:r>
      <w:r w:rsidRPr="00E50A09">
        <w:rPr>
          <w:rFonts w:ascii="Times New Roman" w:eastAsia="Times New Roman" w:hAnsi="Times New Roman"/>
          <w:b/>
          <w:sz w:val="28"/>
          <w:lang w:val="cs-CZ"/>
        </w:rPr>
        <w:instrText xml:space="preserve">ADDIN Mendeley Bibliography CSL_BIBLIOGRAPHY </w:instrText>
      </w:r>
      <w:r w:rsidRPr="00E50A09">
        <w:rPr>
          <w:rFonts w:ascii="Times New Roman" w:eastAsia="Times New Roman" w:hAnsi="Times New Roman"/>
          <w:b/>
          <w:sz w:val="28"/>
          <w:lang w:val="cs-CZ"/>
        </w:rPr>
        <w:fldChar w:fldCharType="separate"/>
      </w:r>
      <w:r w:rsidR="00C50381" w:rsidRPr="00E50A09">
        <w:rPr>
          <w:rFonts w:ascii="Times New Roman" w:hAnsi="Times New Roman" w:cs="Times New Roman"/>
          <w:noProof/>
          <w:sz w:val="28"/>
          <w:szCs w:val="24"/>
        </w:rPr>
        <w:t>[1]</w:t>
      </w:r>
      <w:r w:rsidR="00C50381" w:rsidRPr="00E50A09">
        <w:rPr>
          <w:rFonts w:ascii="Times New Roman" w:hAnsi="Times New Roman" w:cs="Times New Roman"/>
          <w:noProof/>
          <w:sz w:val="28"/>
          <w:szCs w:val="24"/>
        </w:rPr>
        <w:tab/>
        <w:t xml:space="preserve">R. Zazpe, J. Charvot, R. Krumpolec, L. Hromádko, D. Pavliňák, F. Dvorak, P. Knotek, J. Michalicka, J. Přikryl, S. Ng, et al., </w:t>
      </w:r>
      <w:r w:rsidR="00C50381" w:rsidRPr="00E50A09">
        <w:rPr>
          <w:rFonts w:ascii="Times New Roman" w:hAnsi="Times New Roman" w:cs="Times New Roman"/>
          <w:i/>
          <w:iCs/>
          <w:noProof/>
          <w:sz w:val="28"/>
          <w:szCs w:val="24"/>
        </w:rPr>
        <w:t>FlatChem</w:t>
      </w:r>
      <w:r w:rsidR="00C50381" w:rsidRPr="00E50A09">
        <w:rPr>
          <w:rFonts w:ascii="Times New Roman" w:hAnsi="Times New Roman" w:cs="Times New Roman"/>
          <w:noProof/>
          <w:sz w:val="28"/>
          <w:szCs w:val="24"/>
        </w:rPr>
        <w:t xml:space="preserve"> </w:t>
      </w:r>
      <w:r w:rsidR="00C50381" w:rsidRPr="00E50A09">
        <w:rPr>
          <w:rFonts w:ascii="Times New Roman" w:hAnsi="Times New Roman" w:cs="Times New Roman"/>
          <w:b/>
          <w:bCs/>
          <w:noProof/>
          <w:sz w:val="28"/>
          <w:szCs w:val="24"/>
        </w:rPr>
        <w:t>2020</w:t>
      </w:r>
      <w:r w:rsidR="00C50381" w:rsidRPr="00E50A09">
        <w:rPr>
          <w:rFonts w:ascii="Times New Roman" w:hAnsi="Times New Roman" w:cs="Times New Roman"/>
          <w:noProof/>
          <w:sz w:val="28"/>
          <w:szCs w:val="24"/>
        </w:rPr>
        <w:t xml:space="preserve">, </w:t>
      </w:r>
      <w:r w:rsidR="00C50381" w:rsidRPr="00E50A09">
        <w:rPr>
          <w:rFonts w:ascii="Times New Roman" w:hAnsi="Times New Roman" w:cs="Times New Roman"/>
          <w:i/>
          <w:iCs/>
          <w:noProof/>
          <w:sz w:val="28"/>
          <w:szCs w:val="24"/>
        </w:rPr>
        <w:t>21</w:t>
      </w:r>
      <w:r w:rsidR="00C50381" w:rsidRPr="00E50A09">
        <w:rPr>
          <w:rFonts w:ascii="Times New Roman" w:hAnsi="Times New Roman" w:cs="Times New Roman"/>
          <w:noProof/>
          <w:sz w:val="28"/>
          <w:szCs w:val="24"/>
        </w:rPr>
        <w:t>, 100166.</w:t>
      </w:r>
    </w:p>
    <w:p w14:paraId="319E3ACA" w14:textId="77777777" w:rsidR="00C50381" w:rsidRPr="00E50A09" w:rsidRDefault="00C50381" w:rsidP="00E50A09">
      <w:pPr>
        <w:widowControl w:val="0"/>
        <w:autoSpaceDE w:val="0"/>
        <w:autoSpaceDN w:val="0"/>
        <w:adjustRightInd w:val="0"/>
        <w:spacing w:after="240" w:line="276" w:lineRule="auto"/>
        <w:ind w:left="640" w:hanging="640"/>
        <w:jc w:val="both"/>
        <w:rPr>
          <w:rFonts w:ascii="Times New Roman" w:hAnsi="Times New Roman" w:cs="Times New Roman"/>
          <w:noProof/>
          <w:sz w:val="28"/>
        </w:rPr>
      </w:pPr>
      <w:r w:rsidRPr="00E50A09">
        <w:rPr>
          <w:rFonts w:ascii="Times New Roman" w:hAnsi="Times New Roman" w:cs="Times New Roman"/>
          <w:noProof/>
          <w:sz w:val="28"/>
          <w:szCs w:val="24"/>
        </w:rPr>
        <w:t>[2]</w:t>
      </w:r>
      <w:r w:rsidRPr="00E50A09">
        <w:rPr>
          <w:rFonts w:ascii="Times New Roman" w:hAnsi="Times New Roman" w:cs="Times New Roman"/>
          <w:noProof/>
          <w:sz w:val="28"/>
          <w:szCs w:val="24"/>
        </w:rPr>
        <w:tab/>
        <w:t xml:space="preserve">J. Charvot, D. Pokorný, R. Zazpe, R. Krumpolec, D. Pavliňák, L. Hromádko, J. Přikryl, J. Rodriguez-Pereira, M. Klikar, V. Jelínková, et al., </w:t>
      </w:r>
      <w:r w:rsidRPr="00E50A09">
        <w:rPr>
          <w:rFonts w:ascii="Times New Roman" w:hAnsi="Times New Roman" w:cs="Times New Roman"/>
          <w:i/>
          <w:iCs/>
          <w:noProof/>
          <w:sz w:val="28"/>
          <w:szCs w:val="24"/>
        </w:rPr>
        <w:t>Chempluschem</w:t>
      </w:r>
      <w:r w:rsidRPr="00E50A09">
        <w:rPr>
          <w:rFonts w:ascii="Times New Roman" w:hAnsi="Times New Roman" w:cs="Times New Roman"/>
          <w:noProof/>
          <w:sz w:val="28"/>
          <w:szCs w:val="24"/>
        </w:rPr>
        <w:t xml:space="preserve"> </w:t>
      </w:r>
      <w:r w:rsidRPr="00E50A09">
        <w:rPr>
          <w:rFonts w:ascii="Times New Roman" w:hAnsi="Times New Roman" w:cs="Times New Roman"/>
          <w:b/>
          <w:bCs/>
          <w:noProof/>
          <w:sz w:val="28"/>
          <w:szCs w:val="24"/>
        </w:rPr>
        <w:t>2020</w:t>
      </w:r>
      <w:r w:rsidRPr="00E50A09">
        <w:rPr>
          <w:rFonts w:ascii="Times New Roman" w:hAnsi="Times New Roman" w:cs="Times New Roman"/>
          <w:noProof/>
          <w:sz w:val="28"/>
          <w:szCs w:val="24"/>
        </w:rPr>
        <w:t xml:space="preserve">, </w:t>
      </w:r>
      <w:r w:rsidRPr="00E50A09">
        <w:rPr>
          <w:rFonts w:ascii="Times New Roman" w:hAnsi="Times New Roman" w:cs="Times New Roman"/>
          <w:i/>
          <w:iCs/>
          <w:noProof/>
          <w:sz w:val="28"/>
          <w:szCs w:val="24"/>
        </w:rPr>
        <w:t>85</w:t>
      </w:r>
      <w:r w:rsidRPr="00E50A09">
        <w:rPr>
          <w:rFonts w:ascii="Times New Roman" w:hAnsi="Times New Roman" w:cs="Times New Roman"/>
          <w:noProof/>
          <w:sz w:val="28"/>
          <w:szCs w:val="24"/>
        </w:rPr>
        <w:t>, 576–579.</w:t>
      </w:r>
    </w:p>
    <w:p w14:paraId="266EE61A" w14:textId="11749C19" w:rsidR="005947C0" w:rsidRPr="00E50A09" w:rsidRDefault="002C6F88" w:rsidP="00E50A09">
      <w:pPr>
        <w:tabs>
          <w:tab w:val="left" w:pos="284"/>
        </w:tabs>
        <w:spacing w:after="240" w:line="276" w:lineRule="auto"/>
        <w:jc w:val="both"/>
        <w:rPr>
          <w:rFonts w:ascii="Times New Roman" w:eastAsia="Times New Roman" w:hAnsi="Times New Roman"/>
          <w:b/>
          <w:sz w:val="28"/>
          <w:lang w:val="cs-CZ"/>
        </w:rPr>
      </w:pPr>
      <w:r w:rsidRPr="00E50A09">
        <w:rPr>
          <w:rFonts w:ascii="Times New Roman" w:eastAsia="Times New Roman" w:hAnsi="Times New Roman"/>
          <w:b/>
          <w:sz w:val="28"/>
          <w:lang w:val="cs-CZ"/>
        </w:rPr>
        <w:fldChar w:fldCharType="end"/>
      </w:r>
    </w:p>
    <w:p w14:paraId="077E3C6E" w14:textId="77777777" w:rsidR="005947C0" w:rsidRPr="00E50A09" w:rsidRDefault="005947C0" w:rsidP="00E50A09">
      <w:pPr>
        <w:numPr>
          <w:ilvl w:val="0"/>
          <w:numId w:val="1"/>
        </w:numPr>
        <w:tabs>
          <w:tab w:val="left" w:pos="284"/>
        </w:tabs>
        <w:spacing w:line="276" w:lineRule="auto"/>
        <w:ind w:left="284" w:hanging="284"/>
        <w:jc w:val="both"/>
        <w:rPr>
          <w:rFonts w:ascii="Times New Roman" w:eastAsia="Times New Roman" w:hAnsi="Times New Roman"/>
          <w:b/>
          <w:sz w:val="28"/>
          <w:lang w:val="cs-CZ"/>
        </w:rPr>
      </w:pPr>
      <w:r w:rsidRPr="00E50A09">
        <w:rPr>
          <w:rFonts w:ascii="Times New Roman" w:eastAsia="Times New Roman" w:hAnsi="Times New Roman"/>
          <w:b/>
          <w:sz w:val="28"/>
          <w:lang w:val="cs-CZ"/>
        </w:rPr>
        <w:t>Přílohy</w:t>
      </w:r>
    </w:p>
    <w:p w14:paraId="10E0F84B" w14:textId="77777777" w:rsidR="005947C0" w:rsidRPr="00E50A09" w:rsidRDefault="005947C0" w:rsidP="00910FC5">
      <w:pPr>
        <w:spacing w:line="200" w:lineRule="exact"/>
        <w:jc w:val="both"/>
        <w:rPr>
          <w:rFonts w:ascii="Times New Roman" w:eastAsia="Times New Roman" w:hAnsi="Times New Roman"/>
          <w:lang w:val="cs-CZ"/>
        </w:rPr>
      </w:pPr>
    </w:p>
    <w:p w14:paraId="21A20ECB" w14:textId="77777777" w:rsidR="005947C0" w:rsidRPr="00E50A09" w:rsidRDefault="005947C0" w:rsidP="00910FC5">
      <w:pPr>
        <w:spacing w:line="200" w:lineRule="exact"/>
        <w:jc w:val="both"/>
        <w:rPr>
          <w:rFonts w:ascii="Times New Roman" w:eastAsia="Times New Roman" w:hAnsi="Times New Roman"/>
          <w:lang w:val="cs-CZ"/>
        </w:rPr>
      </w:pPr>
    </w:p>
    <w:p w14:paraId="611E4867" w14:textId="1DFC9879" w:rsidR="005947C0" w:rsidRPr="00E50A09" w:rsidRDefault="002A64FC" w:rsidP="00910FC5">
      <w:pPr>
        <w:spacing w:line="200" w:lineRule="exact"/>
        <w:jc w:val="both"/>
        <w:rPr>
          <w:rFonts w:ascii="Times New Roman" w:eastAsia="Times New Roman" w:hAnsi="Times New Roman"/>
          <w:lang w:val="cs-CZ"/>
        </w:rPr>
      </w:pPr>
      <w:r w:rsidRPr="00E50A09">
        <w:rPr>
          <w:noProof/>
        </w:rPr>
        <w:drawing>
          <wp:anchor distT="0" distB="14478" distL="126492" distR="133350" simplePos="0" relativeHeight="251658240" behindDoc="0" locked="0" layoutInCell="1" allowOverlap="1" wp14:anchorId="350192FF" wp14:editId="04F74AC8">
            <wp:simplePos x="0" y="0"/>
            <wp:positionH relativeFrom="column">
              <wp:posOffset>4582922</wp:posOffset>
            </wp:positionH>
            <wp:positionV relativeFrom="paragraph">
              <wp:posOffset>53975</wp:posOffset>
            </wp:positionV>
            <wp:extent cx="1504823" cy="552577"/>
            <wp:effectExtent l="38100" t="0" r="19685" b="19050"/>
            <wp:wrapNone/>
            <wp:docPr id="5"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pic:nvPicPr>
                  <pic:blipFill>
                    <a:blip r:embed="rId10">
                      <a:clrChange>
                        <a:clrFrom>
                          <a:srgbClr val="FBFBFE"/>
                        </a:clrFrom>
                        <a:clrTo>
                          <a:srgbClr val="FBFBFE">
                            <a:alpha val="0"/>
                          </a:srgbClr>
                        </a:clrTo>
                      </a:clrChange>
                      <a:duotone>
                        <a:schemeClr val="accent5">
                          <a:shade val="45000"/>
                          <a:satMod val="135000"/>
                        </a:schemeClr>
                        <a:prstClr val="white"/>
                      </a:duotone>
                    </a:blip>
                    <a:stretch>
                      <a:fillRect/>
                    </a:stretch>
                  </pic:blipFill>
                  <pic:spPr>
                    <a:xfrm>
                      <a:off x="0" y="0"/>
                      <a:ext cx="1504315" cy="552450"/>
                    </a:xfrm>
                    <a:prstGeom prst="rect">
                      <a:avLst/>
                    </a:prstGeom>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p w14:paraId="61CC7C45" w14:textId="77777777" w:rsidR="005947C0" w:rsidRPr="00E50A09" w:rsidRDefault="005947C0" w:rsidP="00910FC5">
      <w:pPr>
        <w:spacing w:line="223" w:lineRule="exact"/>
        <w:jc w:val="both"/>
        <w:rPr>
          <w:rFonts w:ascii="Times New Roman" w:eastAsia="Times New Roman" w:hAnsi="Times New Roman"/>
          <w:lang w:val="cs-CZ"/>
        </w:rPr>
      </w:pPr>
    </w:p>
    <w:p w14:paraId="7CC84FA2" w14:textId="16EC2067" w:rsidR="005947C0" w:rsidRPr="00E50A09" w:rsidRDefault="005947C0" w:rsidP="00910FC5">
      <w:pPr>
        <w:tabs>
          <w:tab w:val="left" w:pos="6343"/>
        </w:tabs>
        <w:spacing w:line="0" w:lineRule="atLeast"/>
        <w:ind w:left="4"/>
        <w:jc w:val="both"/>
        <w:rPr>
          <w:rFonts w:ascii="Times New Roman" w:eastAsia="Times New Roman" w:hAnsi="Times New Roman"/>
          <w:sz w:val="24"/>
          <w:lang w:val="cs-CZ"/>
        </w:rPr>
      </w:pPr>
      <w:r w:rsidRPr="00E50A09">
        <w:rPr>
          <w:rFonts w:ascii="Times New Roman" w:eastAsia="Times New Roman" w:hAnsi="Times New Roman"/>
          <w:sz w:val="24"/>
          <w:lang w:val="cs-CZ"/>
        </w:rPr>
        <w:t>Datum:</w:t>
      </w:r>
      <w:r w:rsidR="0000110D" w:rsidRPr="00E50A09">
        <w:rPr>
          <w:rFonts w:ascii="Times New Roman" w:eastAsia="Times New Roman" w:hAnsi="Times New Roman"/>
          <w:sz w:val="24"/>
          <w:lang w:val="cs-CZ"/>
        </w:rPr>
        <w:t xml:space="preserve"> </w:t>
      </w:r>
      <w:r w:rsidR="008102CC" w:rsidRPr="00E50A09">
        <w:rPr>
          <w:rFonts w:ascii="Times New Roman" w:eastAsia="Times New Roman" w:hAnsi="Times New Roman"/>
          <w:sz w:val="24"/>
          <w:lang w:val="cs-CZ"/>
        </w:rPr>
        <w:t>14</w:t>
      </w:r>
      <w:r w:rsidR="00EF5EF1" w:rsidRPr="00E50A09">
        <w:rPr>
          <w:rFonts w:ascii="Times New Roman" w:eastAsia="Times New Roman" w:hAnsi="Times New Roman"/>
          <w:sz w:val="24"/>
          <w:lang w:val="cs-CZ"/>
        </w:rPr>
        <w:t>. 10. 20</w:t>
      </w:r>
      <w:r w:rsidR="008102CC" w:rsidRPr="00E50A09">
        <w:rPr>
          <w:rFonts w:ascii="Times New Roman" w:eastAsia="Times New Roman" w:hAnsi="Times New Roman"/>
          <w:sz w:val="24"/>
          <w:lang w:val="cs-CZ"/>
        </w:rPr>
        <w:t>20</w:t>
      </w:r>
      <w:r w:rsidRPr="00E50A09">
        <w:rPr>
          <w:rFonts w:ascii="Times New Roman" w:eastAsia="Times New Roman" w:hAnsi="Times New Roman"/>
          <w:lang w:val="cs-CZ"/>
        </w:rPr>
        <w:tab/>
      </w:r>
      <w:r w:rsidRPr="00E50A09">
        <w:rPr>
          <w:rFonts w:ascii="Times New Roman" w:eastAsia="Times New Roman" w:hAnsi="Times New Roman"/>
          <w:sz w:val="24"/>
          <w:lang w:val="cs-CZ"/>
        </w:rPr>
        <w:t>Podpis:</w:t>
      </w:r>
      <w:r w:rsidR="00673E64" w:rsidRPr="00E50A09">
        <w:rPr>
          <w:rFonts w:ascii="Times New Roman" w:eastAsia="Times New Roman" w:hAnsi="Times New Roman"/>
          <w:sz w:val="24"/>
          <w:lang w:val="cs-CZ"/>
        </w:rPr>
        <w:t xml:space="preserve"> </w:t>
      </w:r>
    </w:p>
    <w:p w14:paraId="2BA401A0" w14:textId="77777777" w:rsidR="005947C0" w:rsidRPr="00E50A09" w:rsidRDefault="005947C0" w:rsidP="00910FC5">
      <w:pPr>
        <w:spacing w:line="200" w:lineRule="exact"/>
        <w:jc w:val="both"/>
        <w:rPr>
          <w:rFonts w:ascii="Times New Roman" w:eastAsia="Times New Roman" w:hAnsi="Times New Roman"/>
          <w:lang w:val="cs-CZ"/>
        </w:rPr>
      </w:pPr>
    </w:p>
    <w:p w14:paraId="4DDF0FB2" w14:textId="77777777" w:rsidR="005947C0" w:rsidRPr="00E50A09" w:rsidRDefault="005947C0" w:rsidP="00910FC5">
      <w:pPr>
        <w:spacing w:line="200" w:lineRule="exact"/>
        <w:jc w:val="both"/>
        <w:rPr>
          <w:rFonts w:ascii="Times New Roman" w:eastAsia="Times New Roman" w:hAnsi="Times New Roman"/>
          <w:lang w:val="cs-CZ"/>
        </w:rPr>
      </w:pPr>
    </w:p>
    <w:p w14:paraId="0169FED4" w14:textId="77777777" w:rsidR="005947C0" w:rsidRPr="00E50A09" w:rsidRDefault="005947C0" w:rsidP="00910FC5">
      <w:pPr>
        <w:spacing w:line="200" w:lineRule="exact"/>
        <w:jc w:val="both"/>
        <w:rPr>
          <w:rFonts w:ascii="Times New Roman" w:eastAsia="Times New Roman" w:hAnsi="Times New Roman"/>
          <w:lang w:val="cs-CZ"/>
        </w:rPr>
      </w:pPr>
    </w:p>
    <w:p w14:paraId="5A61B25A" w14:textId="77777777" w:rsidR="005947C0" w:rsidRPr="00E50A09" w:rsidRDefault="005947C0" w:rsidP="00910FC5">
      <w:pPr>
        <w:spacing w:line="200" w:lineRule="exact"/>
        <w:jc w:val="both"/>
        <w:rPr>
          <w:rFonts w:ascii="Times New Roman" w:eastAsia="Times New Roman" w:hAnsi="Times New Roman"/>
          <w:lang w:val="cs-CZ"/>
        </w:rPr>
      </w:pPr>
    </w:p>
    <w:p w14:paraId="71040E65" w14:textId="77777777" w:rsidR="005947C0" w:rsidRPr="00E50A09" w:rsidRDefault="005947C0" w:rsidP="00910FC5">
      <w:pPr>
        <w:spacing w:line="200" w:lineRule="exact"/>
        <w:jc w:val="both"/>
        <w:rPr>
          <w:rFonts w:ascii="Times New Roman" w:eastAsia="Times New Roman" w:hAnsi="Times New Roman"/>
          <w:lang w:val="cs-CZ"/>
        </w:rPr>
      </w:pPr>
    </w:p>
    <w:p w14:paraId="43A92CFB" w14:textId="77777777" w:rsidR="005947C0" w:rsidRPr="00E50A09" w:rsidRDefault="005947C0" w:rsidP="00910FC5">
      <w:pPr>
        <w:spacing w:line="200" w:lineRule="exact"/>
        <w:jc w:val="both"/>
        <w:rPr>
          <w:rFonts w:ascii="Times New Roman" w:eastAsia="Times New Roman" w:hAnsi="Times New Roman"/>
          <w:lang w:val="cs-CZ"/>
        </w:rPr>
      </w:pPr>
    </w:p>
    <w:p w14:paraId="4C2F6F6D" w14:textId="77777777" w:rsidR="005947C0" w:rsidRPr="00E50A09" w:rsidRDefault="005947C0" w:rsidP="00910FC5">
      <w:pPr>
        <w:spacing w:line="200" w:lineRule="exact"/>
        <w:jc w:val="both"/>
        <w:rPr>
          <w:rFonts w:ascii="Times New Roman" w:eastAsia="Times New Roman" w:hAnsi="Times New Roman"/>
          <w:lang w:val="cs-CZ"/>
        </w:rPr>
      </w:pPr>
    </w:p>
    <w:p w14:paraId="52D2850F" w14:textId="77777777" w:rsidR="005947C0" w:rsidRPr="00B94A39" w:rsidRDefault="005947C0" w:rsidP="00910FC5">
      <w:pPr>
        <w:spacing w:line="200" w:lineRule="exact"/>
        <w:jc w:val="both"/>
        <w:rPr>
          <w:rFonts w:ascii="Times New Roman" w:eastAsia="Times New Roman" w:hAnsi="Times New Roman"/>
          <w:lang w:val="cs-CZ"/>
        </w:rPr>
      </w:pPr>
    </w:p>
    <w:p w14:paraId="71476FD5" w14:textId="77777777" w:rsidR="005947C0" w:rsidRPr="00B94A39" w:rsidRDefault="005947C0" w:rsidP="00910FC5">
      <w:pPr>
        <w:spacing w:line="200" w:lineRule="exact"/>
        <w:jc w:val="both"/>
        <w:rPr>
          <w:rFonts w:ascii="Times New Roman" w:eastAsia="Times New Roman" w:hAnsi="Times New Roman"/>
          <w:lang w:val="cs-CZ"/>
        </w:rPr>
      </w:pPr>
    </w:p>
    <w:p w14:paraId="5C9A20FC" w14:textId="77777777" w:rsidR="005947C0" w:rsidRPr="00B94A39" w:rsidRDefault="005947C0" w:rsidP="00910FC5">
      <w:pPr>
        <w:spacing w:line="200" w:lineRule="exact"/>
        <w:jc w:val="both"/>
        <w:rPr>
          <w:rFonts w:ascii="Times New Roman" w:eastAsia="Times New Roman" w:hAnsi="Times New Roman"/>
          <w:lang w:val="cs-CZ"/>
        </w:rPr>
      </w:pPr>
    </w:p>
    <w:p w14:paraId="1FF03EE3" w14:textId="77777777" w:rsidR="005947C0" w:rsidRPr="00B94A39" w:rsidRDefault="005947C0" w:rsidP="00910FC5">
      <w:pPr>
        <w:spacing w:line="200" w:lineRule="exact"/>
        <w:jc w:val="both"/>
        <w:rPr>
          <w:rFonts w:ascii="Times New Roman" w:eastAsia="Times New Roman" w:hAnsi="Times New Roman"/>
          <w:lang w:val="cs-CZ"/>
        </w:rPr>
      </w:pPr>
    </w:p>
    <w:p w14:paraId="5EA94E0C" w14:textId="77777777" w:rsidR="005947C0" w:rsidRPr="00B94A39" w:rsidRDefault="005947C0" w:rsidP="00910FC5">
      <w:pPr>
        <w:spacing w:line="200" w:lineRule="exact"/>
        <w:jc w:val="both"/>
        <w:rPr>
          <w:rFonts w:ascii="Times New Roman" w:eastAsia="Times New Roman" w:hAnsi="Times New Roman"/>
          <w:lang w:val="cs-CZ"/>
        </w:rPr>
      </w:pPr>
    </w:p>
    <w:p w14:paraId="20241C6B" w14:textId="77777777" w:rsidR="005947C0" w:rsidRPr="00B94A39" w:rsidRDefault="005947C0" w:rsidP="00910FC5">
      <w:pPr>
        <w:spacing w:line="200" w:lineRule="exact"/>
        <w:jc w:val="both"/>
        <w:rPr>
          <w:rFonts w:ascii="Times New Roman" w:eastAsia="Times New Roman" w:hAnsi="Times New Roman"/>
          <w:lang w:val="cs-CZ"/>
        </w:rPr>
      </w:pPr>
    </w:p>
    <w:p w14:paraId="24630A97" w14:textId="77777777" w:rsidR="005947C0" w:rsidRPr="00B94A39" w:rsidRDefault="005947C0" w:rsidP="00910FC5">
      <w:pPr>
        <w:spacing w:line="200" w:lineRule="exact"/>
        <w:jc w:val="both"/>
        <w:rPr>
          <w:rFonts w:ascii="Times New Roman" w:eastAsia="Times New Roman" w:hAnsi="Times New Roman"/>
          <w:lang w:val="cs-CZ"/>
        </w:rPr>
      </w:pPr>
    </w:p>
    <w:p w14:paraId="069A14E8" w14:textId="77777777" w:rsidR="005947C0" w:rsidRPr="00B94A39" w:rsidRDefault="005947C0" w:rsidP="00910FC5">
      <w:pPr>
        <w:spacing w:line="200" w:lineRule="exact"/>
        <w:jc w:val="both"/>
        <w:rPr>
          <w:rFonts w:ascii="Times New Roman" w:eastAsia="Times New Roman" w:hAnsi="Times New Roman"/>
          <w:lang w:val="cs-CZ"/>
        </w:rPr>
      </w:pPr>
    </w:p>
    <w:p w14:paraId="6020B7C9" w14:textId="77777777" w:rsidR="005947C0" w:rsidRPr="00B94A39" w:rsidRDefault="005947C0" w:rsidP="00910FC5">
      <w:pPr>
        <w:spacing w:line="200" w:lineRule="exact"/>
        <w:jc w:val="both"/>
        <w:rPr>
          <w:rFonts w:ascii="Times New Roman" w:eastAsia="Times New Roman" w:hAnsi="Times New Roman"/>
          <w:lang w:val="cs-CZ"/>
        </w:rPr>
      </w:pPr>
    </w:p>
    <w:p w14:paraId="62377A00" w14:textId="77777777" w:rsidR="005947C0" w:rsidRPr="00B94A39" w:rsidRDefault="005947C0" w:rsidP="00910FC5">
      <w:pPr>
        <w:spacing w:line="200" w:lineRule="exact"/>
        <w:jc w:val="both"/>
        <w:rPr>
          <w:rFonts w:ascii="Times New Roman" w:eastAsia="Times New Roman" w:hAnsi="Times New Roman"/>
          <w:lang w:val="cs-CZ"/>
        </w:rPr>
      </w:pPr>
    </w:p>
    <w:p w14:paraId="055045FE" w14:textId="77777777" w:rsidR="005947C0" w:rsidRPr="00B94A39" w:rsidRDefault="005947C0" w:rsidP="00910FC5">
      <w:pPr>
        <w:spacing w:line="200" w:lineRule="exact"/>
        <w:jc w:val="both"/>
        <w:rPr>
          <w:rFonts w:ascii="Times New Roman" w:eastAsia="Times New Roman" w:hAnsi="Times New Roman"/>
          <w:lang w:val="cs-CZ"/>
        </w:rPr>
      </w:pPr>
    </w:p>
    <w:p w14:paraId="7399DBA4" w14:textId="77777777" w:rsidR="005947C0" w:rsidRPr="00B94A39" w:rsidRDefault="005947C0" w:rsidP="00910FC5">
      <w:pPr>
        <w:spacing w:line="200" w:lineRule="exact"/>
        <w:jc w:val="both"/>
        <w:rPr>
          <w:rFonts w:ascii="Times New Roman" w:eastAsia="Times New Roman" w:hAnsi="Times New Roman"/>
          <w:lang w:val="cs-CZ"/>
        </w:rPr>
      </w:pPr>
    </w:p>
    <w:p w14:paraId="708C0F85" w14:textId="77777777" w:rsidR="005947C0" w:rsidRPr="00B94A39" w:rsidRDefault="005947C0" w:rsidP="00910FC5">
      <w:pPr>
        <w:spacing w:line="200" w:lineRule="exact"/>
        <w:jc w:val="both"/>
        <w:rPr>
          <w:rFonts w:ascii="Times New Roman" w:eastAsia="Times New Roman" w:hAnsi="Times New Roman"/>
          <w:lang w:val="cs-CZ"/>
        </w:rPr>
      </w:pPr>
    </w:p>
    <w:p w14:paraId="0AAF2FA0" w14:textId="747712EA" w:rsidR="005947C0" w:rsidRPr="00B94A39" w:rsidRDefault="005947C0">
      <w:pPr>
        <w:spacing w:line="0" w:lineRule="atLeast"/>
        <w:jc w:val="right"/>
        <w:rPr>
          <w:rFonts w:ascii="Times New Roman" w:eastAsia="Times New Roman" w:hAnsi="Times New Roman"/>
          <w:sz w:val="23"/>
          <w:lang w:val="cs-CZ"/>
        </w:rPr>
      </w:pPr>
    </w:p>
    <w:sectPr w:rsidR="005947C0" w:rsidRPr="00B94A39" w:rsidSect="003A0611">
      <w:pgSz w:w="11900" w:h="16838"/>
      <w:pgMar w:top="1413" w:right="1406" w:bottom="425" w:left="1416" w:header="0" w:footer="907" w:gutter="0"/>
      <w:cols w:space="0" w:equalWidth="0">
        <w:col w:w="90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01510" w14:textId="77777777" w:rsidR="00917439" w:rsidRDefault="00917439" w:rsidP="003A0611">
      <w:r>
        <w:separator/>
      </w:r>
    </w:p>
  </w:endnote>
  <w:endnote w:type="continuationSeparator" w:id="0">
    <w:p w14:paraId="486F3C7A" w14:textId="77777777" w:rsidR="00917439" w:rsidRDefault="00917439" w:rsidP="003A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415207"/>
      <w:docPartObj>
        <w:docPartGallery w:val="Page Numbers (Bottom of Page)"/>
        <w:docPartUnique/>
      </w:docPartObj>
    </w:sdtPr>
    <w:sdtEndPr/>
    <w:sdtContent>
      <w:p w14:paraId="1020C0FA" w14:textId="087C9AD5" w:rsidR="003A0611" w:rsidRDefault="003A0611">
        <w:pPr>
          <w:pStyle w:val="Zpat"/>
          <w:jc w:val="center"/>
        </w:pPr>
        <w:r>
          <w:fldChar w:fldCharType="begin"/>
        </w:r>
        <w:r>
          <w:instrText>PAGE   \* MERGEFORMAT</w:instrText>
        </w:r>
        <w:r>
          <w:fldChar w:fldCharType="separate"/>
        </w:r>
        <w:r>
          <w:rPr>
            <w:lang w:val="cs-CZ"/>
          </w:rPr>
          <w:t>2</w:t>
        </w:r>
        <w:r>
          <w:fldChar w:fldCharType="end"/>
        </w:r>
      </w:p>
    </w:sdtContent>
  </w:sdt>
  <w:p w14:paraId="6981FA6F" w14:textId="165D30AB" w:rsidR="003A0611" w:rsidRDefault="003A0611" w:rsidP="003A0611">
    <w:pPr>
      <w:pStyle w:val="Zpat"/>
      <w:tabs>
        <w:tab w:val="clear" w:pos="4536"/>
        <w:tab w:val="clear" w:pos="9072"/>
        <w:tab w:val="left" w:pos="1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8E291" w14:textId="77777777" w:rsidR="00917439" w:rsidRDefault="00917439" w:rsidP="003A0611">
      <w:r>
        <w:separator/>
      </w:r>
    </w:p>
  </w:footnote>
  <w:footnote w:type="continuationSeparator" w:id="0">
    <w:p w14:paraId="11049680" w14:textId="77777777" w:rsidR="00917439" w:rsidRDefault="00917439" w:rsidP="003A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4B1855C2">
      <w:start w:val="1"/>
      <w:numFmt w:val="decimal"/>
      <w:lvlText w:val="%1."/>
      <w:lvlJc w:val="left"/>
    </w:lvl>
    <w:lvl w:ilvl="1" w:tplc="7E68D436">
      <w:start w:val="1"/>
      <w:numFmt w:val="bullet"/>
      <w:lvlText w:val=""/>
      <w:lvlJc w:val="left"/>
    </w:lvl>
    <w:lvl w:ilvl="2" w:tplc="C5D4E64C">
      <w:start w:val="1"/>
      <w:numFmt w:val="bullet"/>
      <w:lvlText w:val=""/>
      <w:lvlJc w:val="left"/>
    </w:lvl>
    <w:lvl w:ilvl="3" w:tplc="B5003BCC">
      <w:start w:val="1"/>
      <w:numFmt w:val="bullet"/>
      <w:lvlText w:val=""/>
      <w:lvlJc w:val="left"/>
    </w:lvl>
    <w:lvl w:ilvl="4" w:tplc="92B0F694">
      <w:start w:val="1"/>
      <w:numFmt w:val="bullet"/>
      <w:lvlText w:val=""/>
      <w:lvlJc w:val="left"/>
    </w:lvl>
    <w:lvl w:ilvl="5" w:tplc="50B469A6">
      <w:start w:val="1"/>
      <w:numFmt w:val="bullet"/>
      <w:lvlText w:val=""/>
      <w:lvlJc w:val="left"/>
    </w:lvl>
    <w:lvl w:ilvl="6" w:tplc="81CE4322">
      <w:start w:val="1"/>
      <w:numFmt w:val="bullet"/>
      <w:lvlText w:val=""/>
      <w:lvlJc w:val="left"/>
    </w:lvl>
    <w:lvl w:ilvl="7" w:tplc="EFAA1676">
      <w:start w:val="1"/>
      <w:numFmt w:val="bullet"/>
      <w:lvlText w:val=""/>
      <w:lvlJc w:val="left"/>
    </w:lvl>
    <w:lvl w:ilvl="8" w:tplc="2AEC1086">
      <w:start w:val="1"/>
      <w:numFmt w:val="bullet"/>
      <w:lvlText w:val=""/>
      <w:lvlJc w:val="left"/>
    </w:lvl>
  </w:abstractNum>
  <w:abstractNum w:abstractNumId="1" w15:restartNumberingAfterBreak="0">
    <w:nsid w:val="10984A9D"/>
    <w:multiLevelType w:val="hybridMultilevel"/>
    <w:tmpl w:val="6F741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905CA7"/>
    <w:multiLevelType w:val="hybridMultilevel"/>
    <w:tmpl w:val="2872E3E2"/>
    <w:lvl w:ilvl="0" w:tplc="EBEEC19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26340"/>
    <w:multiLevelType w:val="hybridMultilevel"/>
    <w:tmpl w:val="CDDAA298"/>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4" w15:restartNumberingAfterBreak="0">
    <w:nsid w:val="497D76E7"/>
    <w:multiLevelType w:val="hybridMultilevel"/>
    <w:tmpl w:val="C5B67AA4"/>
    <w:lvl w:ilvl="0" w:tplc="432EA866">
      <w:start w:val="82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77"/>
    <w:rsid w:val="0000110D"/>
    <w:rsid w:val="00016477"/>
    <w:rsid w:val="00033295"/>
    <w:rsid w:val="000A2677"/>
    <w:rsid w:val="000B6125"/>
    <w:rsid w:val="001415F0"/>
    <w:rsid w:val="001E48B8"/>
    <w:rsid w:val="001F195F"/>
    <w:rsid w:val="002252C1"/>
    <w:rsid w:val="002422FC"/>
    <w:rsid w:val="00275FC6"/>
    <w:rsid w:val="002A64FC"/>
    <w:rsid w:val="002C6F88"/>
    <w:rsid w:val="003018BD"/>
    <w:rsid w:val="003A0611"/>
    <w:rsid w:val="003B2CD2"/>
    <w:rsid w:val="003B76FA"/>
    <w:rsid w:val="004A3DF0"/>
    <w:rsid w:val="004B0343"/>
    <w:rsid w:val="005947C0"/>
    <w:rsid w:val="005D40E7"/>
    <w:rsid w:val="005D6366"/>
    <w:rsid w:val="00673E64"/>
    <w:rsid w:val="00763AAD"/>
    <w:rsid w:val="0076406B"/>
    <w:rsid w:val="00771EEC"/>
    <w:rsid w:val="007D6226"/>
    <w:rsid w:val="008102CC"/>
    <w:rsid w:val="00910FC5"/>
    <w:rsid w:val="00913B2F"/>
    <w:rsid w:val="00917439"/>
    <w:rsid w:val="00984974"/>
    <w:rsid w:val="009C1B83"/>
    <w:rsid w:val="00A04BBD"/>
    <w:rsid w:val="00A77B05"/>
    <w:rsid w:val="00B5694D"/>
    <w:rsid w:val="00B71047"/>
    <w:rsid w:val="00B94A39"/>
    <w:rsid w:val="00C01D78"/>
    <w:rsid w:val="00C50381"/>
    <w:rsid w:val="00C53AEC"/>
    <w:rsid w:val="00D76A52"/>
    <w:rsid w:val="00DA5033"/>
    <w:rsid w:val="00DF1921"/>
    <w:rsid w:val="00E50A09"/>
    <w:rsid w:val="00E641E1"/>
    <w:rsid w:val="00E800B1"/>
    <w:rsid w:val="00E97165"/>
    <w:rsid w:val="00EF5EF1"/>
    <w:rsid w:val="00FD1C75"/>
    <w:rsid w:val="00FD7EA0"/>
    <w:rsid w:val="00FE19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42B8C"/>
  <w15:chartTrackingRefBased/>
  <w15:docId w15:val="{B2FE1DD1-033F-4B12-BF56-067D2F30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76A52"/>
    <w:pPr>
      <w:autoSpaceDE w:val="0"/>
      <w:autoSpaceDN w:val="0"/>
      <w:adjustRightInd w:val="0"/>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3A0611"/>
    <w:pPr>
      <w:tabs>
        <w:tab w:val="center" w:pos="4536"/>
        <w:tab w:val="right" w:pos="9072"/>
      </w:tabs>
    </w:pPr>
  </w:style>
  <w:style w:type="character" w:customStyle="1" w:styleId="ZhlavChar">
    <w:name w:val="Záhlaví Char"/>
    <w:basedOn w:val="Standardnpsmoodstavce"/>
    <w:link w:val="Zhlav"/>
    <w:uiPriority w:val="99"/>
    <w:rsid w:val="003A0611"/>
    <w:rPr>
      <w:lang w:val="en-GB" w:eastAsia="en-GB"/>
    </w:rPr>
  </w:style>
  <w:style w:type="paragraph" w:styleId="Zpat">
    <w:name w:val="footer"/>
    <w:basedOn w:val="Normln"/>
    <w:link w:val="ZpatChar"/>
    <w:uiPriority w:val="99"/>
    <w:unhideWhenUsed/>
    <w:rsid w:val="003A0611"/>
    <w:pPr>
      <w:tabs>
        <w:tab w:val="center" w:pos="4536"/>
        <w:tab w:val="right" w:pos="9072"/>
      </w:tabs>
    </w:pPr>
  </w:style>
  <w:style w:type="character" w:customStyle="1" w:styleId="ZpatChar">
    <w:name w:val="Zápatí Char"/>
    <w:basedOn w:val="Standardnpsmoodstavce"/>
    <w:link w:val="Zpat"/>
    <w:uiPriority w:val="99"/>
    <w:rsid w:val="003A0611"/>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65D3-19C8-4186-A8CA-7F7B2D85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653</Words>
  <Characters>10500</Characters>
  <Application>Microsoft Office Word</Application>
  <DocSecurity>0</DocSecurity>
  <Lines>87</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Podlesný</dc:creator>
  <cp:keywords/>
  <cp:lastModifiedBy>Podlesný Jan</cp:lastModifiedBy>
  <cp:revision>14</cp:revision>
  <dcterms:created xsi:type="dcterms:W3CDTF">2020-10-13T12:36:00Z</dcterms:created>
  <dcterms:modified xsi:type="dcterms:W3CDTF">2020-11-06T15:52:00Z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b5194670-7326-3d60-b626-8c75fcbdbaf3</vt:lpwstr>
  </property>
  <property fmtid="{D5CDD505-2E9C-101B-9397-08002B2CF9AE}" pid="4" name="Mendeley Citation Style_1">
    <vt:lpwstr>http://csl.mendeley.com/styles/456106131/BG-3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http://csl.mendeley.com/styles/456106131/BG-3</vt:lpwstr>
  </property>
  <property fmtid="{D5CDD505-2E9C-101B-9397-08002B2CF9AE}" pid="12" name="Mendeley Recent Style Name 3_1">
    <vt:lpwstr>Bureš group citation form (Angewantde Chemie edited/translated)</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http://www.zotero.org/styles/dyes-and-pigments</vt:lpwstr>
  </property>
  <property fmtid="{D5CDD505-2E9C-101B-9397-08002B2CF9AE}" pid="18" name="Mendeley Recent Style Name 6_1">
    <vt:lpwstr>Dyes and Pigments</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