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C12" w:rsidRDefault="004E7C12" w:rsidP="004E7C12">
      <w:pPr>
        <w:spacing w:after="240"/>
        <w:jc w:val="right"/>
        <w:rPr>
          <w:b/>
        </w:rPr>
      </w:pPr>
      <w:bookmarkStart w:id="0" w:name="_GoBack"/>
      <w:bookmarkEnd w:id="0"/>
      <w:r w:rsidRPr="00A85B26">
        <w:rPr>
          <w:rFonts w:ascii="Arial" w:hAnsi="Arial" w:cs="Arial"/>
          <w:noProof/>
          <w:sz w:val="36"/>
          <w:szCs w:val="36"/>
          <w:lang w:val="en-US"/>
        </w:rPr>
        <w:drawing>
          <wp:anchor distT="0" distB="0" distL="114300" distR="114300" simplePos="0" relativeHeight="251659264" behindDoc="1" locked="0" layoutInCell="1" allowOverlap="1" wp14:anchorId="09329791" wp14:editId="74ED4421">
            <wp:simplePos x="0" y="0"/>
            <wp:positionH relativeFrom="column">
              <wp:posOffset>-228600</wp:posOffset>
            </wp:positionH>
            <wp:positionV relativeFrom="paragraph">
              <wp:posOffset>257810</wp:posOffset>
            </wp:positionV>
            <wp:extent cx="968375" cy="975360"/>
            <wp:effectExtent l="0" t="0" r="0" b="0"/>
            <wp:wrapTight wrapText="bothSides">
              <wp:wrapPolygon edited="0">
                <wp:start x="850" y="422"/>
                <wp:lineTo x="850" y="20672"/>
                <wp:lineTo x="20396" y="20672"/>
                <wp:lineTo x="20396" y="422"/>
                <wp:lineTo x="850" y="422"/>
              </wp:wrapPolygon>
            </wp:wrapTight>
            <wp:docPr id="7" name="Obrázek 7" descr="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8375" cy="975360"/>
                    </a:xfrm>
                    <a:prstGeom prst="rect">
                      <a:avLst/>
                    </a:prstGeom>
                    <a:noFill/>
                  </pic:spPr>
                </pic:pic>
              </a:graphicData>
            </a:graphic>
          </wp:anchor>
        </w:drawing>
      </w:r>
    </w:p>
    <w:p w:rsidR="004E7C12" w:rsidRPr="00A85B26" w:rsidRDefault="004E7C12" w:rsidP="004E7C12">
      <w:pPr>
        <w:rPr>
          <w:sz w:val="36"/>
          <w:szCs w:val="36"/>
        </w:rPr>
      </w:pPr>
      <w:r w:rsidRPr="00A85B26">
        <w:rPr>
          <w:sz w:val="36"/>
          <w:szCs w:val="36"/>
        </w:rPr>
        <w:t xml:space="preserve">Vysoká škola technická a ekonomická </w:t>
      </w:r>
    </w:p>
    <w:p w:rsidR="004E7C12" w:rsidRPr="00A85B26" w:rsidRDefault="004E7C12" w:rsidP="004E7C12">
      <w:pPr>
        <w:rPr>
          <w:sz w:val="50"/>
          <w:szCs w:val="50"/>
        </w:rPr>
      </w:pPr>
      <w:r w:rsidRPr="00A85B26">
        <w:rPr>
          <w:sz w:val="36"/>
          <w:szCs w:val="36"/>
        </w:rPr>
        <w:t>v Českých Budějovicích</w:t>
      </w:r>
    </w:p>
    <w:p w:rsidR="004E7C12" w:rsidRDefault="004E7C12" w:rsidP="004E7C12">
      <w:pPr>
        <w:rPr>
          <w:i/>
          <w:sz w:val="22"/>
          <w:szCs w:val="22"/>
        </w:rPr>
      </w:pPr>
      <w:r>
        <w:rPr>
          <w:i/>
        </w:rPr>
        <w:t>Okružní 10, 370 01  České Budějovice</w:t>
      </w:r>
    </w:p>
    <w:p w:rsidR="004E7C12" w:rsidRDefault="004E7C12" w:rsidP="004E7C12"/>
    <w:p w:rsidR="004E7C12" w:rsidRDefault="004E7C12" w:rsidP="004E7C12"/>
    <w:p w:rsidR="004E7C12" w:rsidRDefault="004E7C12" w:rsidP="004E7C12">
      <w:pPr>
        <w:pStyle w:val="Default"/>
        <w:jc w:val="center"/>
        <w:rPr>
          <w:sz w:val="32"/>
          <w:szCs w:val="32"/>
        </w:rPr>
      </w:pPr>
      <w:r>
        <w:rPr>
          <w:b/>
          <w:bCs/>
          <w:sz w:val="32"/>
          <w:szCs w:val="32"/>
        </w:rPr>
        <w:t>ŽÁDOST O PŘIDĚLENÍ INTERNÍHO GRANTU</w:t>
      </w:r>
    </w:p>
    <w:p w:rsidR="004E7C12" w:rsidRDefault="004E7C12" w:rsidP="004E7C12">
      <w:pPr>
        <w:pStyle w:val="Default"/>
        <w:rPr>
          <w:sz w:val="23"/>
          <w:szCs w:val="23"/>
        </w:rPr>
      </w:pPr>
    </w:p>
    <w:p w:rsidR="004E7C12" w:rsidRDefault="004E7C12" w:rsidP="004E7C12">
      <w:pPr>
        <w:pStyle w:val="Default"/>
        <w:rPr>
          <w:sz w:val="23"/>
          <w:szCs w:val="23"/>
        </w:rPr>
      </w:pPr>
    </w:p>
    <w:p w:rsidR="00045294" w:rsidRDefault="004E7C12" w:rsidP="00045294">
      <w:pPr>
        <w:pStyle w:val="Default"/>
        <w:spacing w:line="360" w:lineRule="auto"/>
        <w:jc w:val="both"/>
        <w:rPr>
          <w:b/>
          <w:sz w:val="23"/>
          <w:szCs w:val="23"/>
        </w:rPr>
      </w:pPr>
      <w:r>
        <w:rPr>
          <w:sz w:val="23"/>
          <w:szCs w:val="23"/>
        </w:rPr>
        <w:t xml:space="preserve">1. Název interního grantu: </w:t>
      </w:r>
      <w:r w:rsidR="00045294">
        <w:rPr>
          <w:b/>
          <w:sz w:val="23"/>
          <w:szCs w:val="23"/>
        </w:rPr>
        <w:t xml:space="preserve">Dovybavení dopravní laboratoře specializovanými zařízeními pro </w:t>
      </w:r>
    </w:p>
    <w:p w:rsidR="004E7C12" w:rsidRPr="009C7268" w:rsidRDefault="00045294" w:rsidP="00045294">
      <w:pPr>
        <w:pStyle w:val="Default"/>
        <w:spacing w:line="360" w:lineRule="auto"/>
        <w:ind w:firstLine="708"/>
        <w:jc w:val="both"/>
        <w:rPr>
          <w:b/>
          <w:sz w:val="23"/>
          <w:szCs w:val="23"/>
        </w:rPr>
      </w:pPr>
      <w:r>
        <w:rPr>
          <w:b/>
          <w:sz w:val="23"/>
          <w:szCs w:val="23"/>
        </w:rPr>
        <w:t>sběr dopravních dat a zaznamenávání křižovatkových pohybů vozidel</w:t>
      </w:r>
    </w:p>
    <w:p w:rsidR="004E7C12" w:rsidRDefault="004E7C12" w:rsidP="004E7C12">
      <w:pPr>
        <w:pStyle w:val="Default"/>
        <w:rPr>
          <w:sz w:val="23"/>
          <w:szCs w:val="23"/>
        </w:rPr>
      </w:pPr>
    </w:p>
    <w:p w:rsidR="004E7C12" w:rsidRDefault="004E7C12" w:rsidP="004E7C12">
      <w:pPr>
        <w:pStyle w:val="Default"/>
        <w:rPr>
          <w:sz w:val="23"/>
          <w:szCs w:val="23"/>
        </w:rPr>
      </w:pPr>
      <w:r>
        <w:rPr>
          <w:sz w:val="23"/>
          <w:szCs w:val="23"/>
        </w:rPr>
        <w:tab/>
        <w:t xml:space="preserve">Katedra: </w:t>
      </w:r>
      <w:r w:rsidR="005956A6">
        <w:rPr>
          <w:sz w:val="23"/>
          <w:szCs w:val="23"/>
        </w:rPr>
        <w:t>dopravy a logistiky</w:t>
      </w:r>
    </w:p>
    <w:p w:rsidR="004E7C12" w:rsidRDefault="004E7C12" w:rsidP="004E7C12">
      <w:pPr>
        <w:pStyle w:val="Default"/>
        <w:rPr>
          <w:sz w:val="23"/>
          <w:szCs w:val="23"/>
        </w:rPr>
      </w:pPr>
    </w:p>
    <w:p w:rsidR="004E7C12" w:rsidRDefault="005956A6" w:rsidP="004E7C12">
      <w:pPr>
        <w:pStyle w:val="Default"/>
        <w:rPr>
          <w:sz w:val="23"/>
          <w:szCs w:val="23"/>
        </w:rPr>
      </w:pPr>
      <w:r>
        <w:rPr>
          <w:sz w:val="23"/>
          <w:szCs w:val="23"/>
        </w:rPr>
        <w:t>2. Hlavní řešitel:</w:t>
      </w:r>
    </w:p>
    <w:p w:rsidR="004E7C12" w:rsidRDefault="004E7C12" w:rsidP="004E7C12">
      <w:pPr>
        <w:pStyle w:val="Default"/>
        <w:rPr>
          <w:sz w:val="23"/>
          <w:szCs w:val="23"/>
        </w:rPr>
      </w:pPr>
    </w:p>
    <w:p w:rsidR="004E7C12" w:rsidRPr="009C7268" w:rsidRDefault="004E7C12" w:rsidP="004E7C12">
      <w:pPr>
        <w:pStyle w:val="Default"/>
        <w:rPr>
          <w:b/>
          <w:sz w:val="23"/>
          <w:szCs w:val="23"/>
        </w:rPr>
      </w:pPr>
      <w:r>
        <w:rPr>
          <w:sz w:val="23"/>
          <w:szCs w:val="23"/>
        </w:rPr>
        <w:tab/>
        <w:t xml:space="preserve">Příjmení, jméno, tituly: </w:t>
      </w:r>
      <w:r w:rsidR="00045294">
        <w:rPr>
          <w:b/>
          <w:sz w:val="23"/>
          <w:szCs w:val="23"/>
        </w:rPr>
        <w:t>Hanzl</w:t>
      </w:r>
      <w:r w:rsidR="005956A6" w:rsidRPr="009C7268">
        <w:rPr>
          <w:b/>
          <w:sz w:val="23"/>
          <w:szCs w:val="23"/>
        </w:rPr>
        <w:t xml:space="preserve">, </w:t>
      </w:r>
      <w:r w:rsidR="00045294">
        <w:rPr>
          <w:b/>
          <w:sz w:val="23"/>
          <w:szCs w:val="23"/>
        </w:rPr>
        <w:t>Jiří</w:t>
      </w:r>
      <w:r w:rsidR="005956A6" w:rsidRPr="009C7268">
        <w:rPr>
          <w:b/>
          <w:sz w:val="23"/>
          <w:szCs w:val="23"/>
        </w:rPr>
        <w:t>, Ing.</w:t>
      </w:r>
      <w:r w:rsidR="00045294">
        <w:rPr>
          <w:b/>
          <w:sz w:val="23"/>
          <w:szCs w:val="23"/>
        </w:rPr>
        <w:t xml:space="preserve"> Bc. Ph.D.</w:t>
      </w:r>
    </w:p>
    <w:p w:rsidR="004E7C12" w:rsidRDefault="004E7C12" w:rsidP="004E7C12">
      <w:pPr>
        <w:pStyle w:val="Default"/>
        <w:rPr>
          <w:sz w:val="23"/>
          <w:szCs w:val="23"/>
        </w:rPr>
      </w:pPr>
      <w:r>
        <w:rPr>
          <w:sz w:val="23"/>
          <w:szCs w:val="23"/>
        </w:rPr>
        <w:tab/>
        <w:t xml:space="preserve">Pracovní zařazení: </w:t>
      </w:r>
      <w:r w:rsidR="00045294">
        <w:rPr>
          <w:sz w:val="23"/>
          <w:szCs w:val="23"/>
        </w:rPr>
        <w:t>odborný asistent</w:t>
      </w:r>
    </w:p>
    <w:p w:rsidR="004E7C12" w:rsidRDefault="004E7C12" w:rsidP="004E7C12">
      <w:pPr>
        <w:pStyle w:val="Default"/>
        <w:rPr>
          <w:sz w:val="23"/>
          <w:szCs w:val="23"/>
        </w:rPr>
      </w:pPr>
      <w:r>
        <w:rPr>
          <w:sz w:val="23"/>
          <w:szCs w:val="23"/>
        </w:rPr>
        <w:tab/>
        <w:t xml:space="preserve">Kontakt: e-mail: </w:t>
      </w:r>
      <w:r w:rsidR="00045294">
        <w:rPr>
          <w:sz w:val="23"/>
          <w:szCs w:val="23"/>
        </w:rPr>
        <w:t>hanzl@mail.vstecb.cz</w:t>
      </w:r>
      <w:r>
        <w:rPr>
          <w:sz w:val="23"/>
          <w:szCs w:val="23"/>
        </w:rPr>
        <w:tab/>
      </w:r>
      <w:r w:rsidR="00B1034B">
        <w:rPr>
          <w:sz w:val="23"/>
          <w:szCs w:val="23"/>
        </w:rPr>
        <w:tab/>
      </w:r>
      <w:r>
        <w:rPr>
          <w:sz w:val="23"/>
          <w:szCs w:val="23"/>
        </w:rPr>
        <w:t xml:space="preserve">tel.: </w:t>
      </w:r>
      <w:r w:rsidR="005956A6">
        <w:rPr>
          <w:sz w:val="23"/>
          <w:szCs w:val="23"/>
        </w:rPr>
        <w:t>387 842 180</w:t>
      </w:r>
    </w:p>
    <w:p w:rsidR="004E7C12" w:rsidRDefault="004E7C12" w:rsidP="004E7C12">
      <w:pPr>
        <w:pStyle w:val="Default"/>
        <w:rPr>
          <w:sz w:val="23"/>
          <w:szCs w:val="23"/>
        </w:rPr>
      </w:pPr>
    </w:p>
    <w:p w:rsidR="004E7C12" w:rsidRDefault="005956A6" w:rsidP="004E7C12">
      <w:pPr>
        <w:pStyle w:val="Default"/>
        <w:rPr>
          <w:sz w:val="23"/>
          <w:szCs w:val="23"/>
        </w:rPr>
      </w:pPr>
      <w:r>
        <w:rPr>
          <w:sz w:val="23"/>
          <w:szCs w:val="23"/>
        </w:rPr>
        <w:t>3. Spoluřešitelé:</w:t>
      </w:r>
    </w:p>
    <w:p w:rsidR="004E7C12" w:rsidRDefault="004E7C12" w:rsidP="004E7C12">
      <w:pPr>
        <w:pStyle w:val="Default"/>
        <w:rPr>
          <w:sz w:val="23"/>
          <w:szCs w:val="23"/>
        </w:rPr>
      </w:pPr>
    </w:p>
    <w:p w:rsidR="004E7C12" w:rsidRDefault="005956A6" w:rsidP="004E7C12">
      <w:pPr>
        <w:pStyle w:val="Default"/>
        <w:rPr>
          <w:sz w:val="23"/>
          <w:szCs w:val="23"/>
        </w:rPr>
      </w:pPr>
      <w:r>
        <w:rPr>
          <w:sz w:val="23"/>
          <w:szCs w:val="23"/>
        </w:rPr>
        <w:tab/>
        <w:t xml:space="preserve">Příjmení, jméno, titul: </w:t>
      </w:r>
      <w:r w:rsidR="00045294">
        <w:rPr>
          <w:sz w:val="23"/>
          <w:szCs w:val="23"/>
        </w:rPr>
        <w:t>Bartuška</w:t>
      </w:r>
      <w:r>
        <w:rPr>
          <w:sz w:val="23"/>
          <w:szCs w:val="23"/>
        </w:rPr>
        <w:t xml:space="preserve">, </w:t>
      </w:r>
      <w:r w:rsidR="00045294">
        <w:rPr>
          <w:sz w:val="23"/>
          <w:szCs w:val="23"/>
        </w:rPr>
        <w:t>Ladislav</w:t>
      </w:r>
      <w:r>
        <w:rPr>
          <w:sz w:val="23"/>
          <w:szCs w:val="23"/>
        </w:rPr>
        <w:t>, Ing.</w:t>
      </w:r>
    </w:p>
    <w:p w:rsidR="004E7C12" w:rsidRDefault="004E7C12" w:rsidP="004E7C12">
      <w:pPr>
        <w:pStyle w:val="Default"/>
        <w:rPr>
          <w:sz w:val="23"/>
          <w:szCs w:val="23"/>
        </w:rPr>
      </w:pPr>
      <w:r>
        <w:rPr>
          <w:sz w:val="23"/>
          <w:szCs w:val="23"/>
        </w:rPr>
        <w:tab/>
        <w:t xml:space="preserve">Kontakt: </w:t>
      </w:r>
      <w:r w:rsidR="005956A6">
        <w:rPr>
          <w:sz w:val="23"/>
          <w:szCs w:val="23"/>
        </w:rPr>
        <w:t>e-mail:</w:t>
      </w:r>
      <w:r w:rsidR="00045294" w:rsidRPr="00045294">
        <w:rPr>
          <w:sz w:val="23"/>
          <w:szCs w:val="23"/>
        </w:rPr>
        <w:t xml:space="preserve"> </w:t>
      </w:r>
      <w:r w:rsidR="00045294">
        <w:rPr>
          <w:sz w:val="23"/>
          <w:szCs w:val="23"/>
        </w:rPr>
        <w:t>bartuska@mail.vstecb.cz</w:t>
      </w:r>
      <w:r w:rsidR="00C56F51">
        <w:rPr>
          <w:sz w:val="23"/>
          <w:szCs w:val="23"/>
        </w:rPr>
        <w:tab/>
      </w:r>
      <w:r>
        <w:rPr>
          <w:sz w:val="23"/>
          <w:szCs w:val="23"/>
        </w:rPr>
        <w:tab/>
        <w:t xml:space="preserve">tel: </w:t>
      </w:r>
      <w:r w:rsidR="005956A6">
        <w:rPr>
          <w:sz w:val="23"/>
          <w:szCs w:val="23"/>
        </w:rPr>
        <w:t>387 842 18</w:t>
      </w:r>
      <w:r w:rsidR="00045294">
        <w:rPr>
          <w:sz w:val="23"/>
          <w:szCs w:val="23"/>
        </w:rPr>
        <w:t>0</w:t>
      </w:r>
    </w:p>
    <w:p w:rsidR="002E4280" w:rsidRDefault="002E4280" w:rsidP="004E7C12">
      <w:pPr>
        <w:pStyle w:val="Default"/>
        <w:rPr>
          <w:sz w:val="23"/>
          <w:szCs w:val="23"/>
        </w:rPr>
      </w:pPr>
    </w:p>
    <w:p w:rsidR="00C72A83" w:rsidRDefault="004E7C12" w:rsidP="004E7C12">
      <w:pPr>
        <w:pStyle w:val="Default"/>
        <w:rPr>
          <w:sz w:val="23"/>
          <w:szCs w:val="23"/>
        </w:rPr>
      </w:pPr>
      <w:r>
        <w:rPr>
          <w:sz w:val="23"/>
          <w:szCs w:val="23"/>
        </w:rPr>
        <w:t xml:space="preserve">4. </w:t>
      </w:r>
      <w:r w:rsidR="00B1034B">
        <w:rPr>
          <w:sz w:val="23"/>
          <w:szCs w:val="23"/>
        </w:rPr>
        <w:t>Anotace</w:t>
      </w:r>
      <w:r w:rsidR="00C72A83">
        <w:rPr>
          <w:sz w:val="23"/>
          <w:szCs w:val="23"/>
        </w:rPr>
        <w:t>:</w:t>
      </w:r>
    </w:p>
    <w:p w:rsidR="0013693E" w:rsidRDefault="00037262" w:rsidP="00296399">
      <w:pPr>
        <w:pStyle w:val="Default"/>
        <w:ind w:firstLine="708"/>
        <w:jc w:val="both"/>
      </w:pPr>
      <w:r>
        <w:t>Předmětem interního grantu s názvem „</w:t>
      </w:r>
      <w:r w:rsidR="00045294">
        <w:t>Dovybavení dopravní laboratoře specializovanými zařízeními pro sběr dopravních dat a zaznamenávání křižovatkových pohybů vozidel</w:t>
      </w:r>
      <w:r>
        <w:t xml:space="preserve">“ je podpořit </w:t>
      </w:r>
      <w:r w:rsidR="00045294">
        <w:t xml:space="preserve">odbornou </w:t>
      </w:r>
      <w:r>
        <w:t xml:space="preserve">pedagogickou </w:t>
      </w:r>
      <w:r w:rsidR="00045294">
        <w:t xml:space="preserve">práci </w:t>
      </w:r>
      <w:r w:rsidR="00C96828">
        <w:t xml:space="preserve">a vedlejší hospodářskou činnost (řešení zakázek) </w:t>
      </w:r>
      <w:r w:rsidR="00045294">
        <w:t>akademických pracovníků a </w:t>
      </w:r>
      <w:r>
        <w:t>studentů pořízením 2</w:t>
      </w:r>
      <w:r w:rsidR="00D15337">
        <w:t xml:space="preserve"> </w:t>
      </w:r>
      <w:r>
        <w:t xml:space="preserve">ks </w:t>
      </w:r>
      <w:r w:rsidR="00C96828">
        <w:t>sčítacích zařízení značky TDC U</w:t>
      </w:r>
      <w:r w:rsidR="00923A45">
        <w:t>LTRA</w:t>
      </w:r>
      <w:r w:rsidR="00C96828">
        <w:t xml:space="preserve"> pro sběr dopravních dat v dopravních uzlech.</w:t>
      </w:r>
    </w:p>
    <w:p w:rsidR="00C41DB4" w:rsidRDefault="00C41DB4" w:rsidP="004C29A6">
      <w:pPr>
        <w:pStyle w:val="Default"/>
        <w:ind w:firstLine="708"/>
        <w:jc w:val="both"/>
      </w:pPr>
    </w:p>
    <w:p w:rsidR="00C72A83" w:rsidRDefault="00C72A83" w:rsidP="004E7C12">
      <w:pPr>
        <w:pStyle w:val="Default"/>
        <w:rPr>
          <w:sz w:val="23"/>
          <w:szCs w:val="23"/>
        </w:rPr>
      </w:pPr>
      <w:r>
        <w:rPr>
          <w:sz w:val="23"/>
          <w:szCs w:val="23"/>
        </w:rPr>
        <w:t>5. Konkrétní výstupy:</w:t>
      </w:r>
    </w:p>
    <w:p w:rsidR="009C7268" w:rsidRPr="009C7268" w:rsidRDefault="00C96828" w:rsidP="009C7268">
      <w:pPr>
        <w:pStyle w:val="Odstavecseseznamem"/>
        <w:numPr>
          <w:ilvl w:val="0"/>
          <w:numId w:val="2"/>
        </w:numPr>
        <w:spacing w:after="0"/>
        <w:jc w:val="both"/>
        <w:rPr>
          <w:rFonts w:ascii="Times New Roman" w:hAnsi="Times New Roman" w:cs="Times New Roman"/>
          <w:sz w:val="23"/>
          <w:szCs w:val="23"/>
        </w:rPr>
      </w:pPr>
      <w:r>
        <w:rPr>
          <w:rFonts w:ascii="Times New Roman" w:hAnsi="Times New Roman" w:cs="Times New Roman"/>
          <w:sz w:val="23"/>
          <w:szCs w:val="23"/>
        </w:rPr>
        <w:t>1</w:t>
      </w:r>
      <w:r w:rsidR="0056551F">
        <w:rPr>
          <w:rFonts w:ascii="Times New Roman" w:hAnsi="Times New Roman" w:cs="Times New Roman"/>
          <w:sz w:val="23"/>
          <w:szCs w:val="23"/>
        </w:rPr>
        <w:t xml:space="preserve"> </w:t>
      </w:r>
      <w:r w:rsidR="009C7268" w:rsidRPr="009C7268">
        <w:rPr>
          <w:rFonts w:ascii="Times New Roman" w:hAnsi="Times New Roman" w:cs="Times New Roman"/>
          <w:sz w:val="23"/>
          <w:szCs w:val="23"/>
        </w:rPr>
        <w:t>člán</w:t>
      </w:r>
      <w:r>
        <w:rPr>
          <w:rFonts w:ascii="Times New Roman" w:hAnsi="Times New Roman" w:cs="Times New Roman"/>
          <w:sz w:val="23"/>
          <w:szCs w:val="23"/>
        </w:rPr>
        <w:t>e</w:t>
      </w:r>
      <w:r w:rsidR="0056551F">
        <w:rPr>
          <w:rFonts w:ascii="Times New Roman" w:hAnsi="Times New Roman" w:cs="Times New Roman"/>
          <w:sz w:val="23"/>
          <w:szCs w:val="23"/>
        </w:rPr>
        <w:t>k</w:t>
      </w:r>
      <w:r w:rsidR="009C7268" w:rsidRPr="009C7268">
        <w:rPr>
          <w:rFonts w:ascii="Times New Roman" w:hAnsi="Times New Roman" w:cs="Times New Roman"/>
          <w:sz w:val="23"/>
          <w:szCs w:val="23"/>
        </w:rPr>
        <w:t xml:space="preserve"> v časopis</w:t>
      </w:r>
      <w:r>
        <w:rPr>
          <w:rFonts w:ascii="Times New Roman" w:hAnsi="Times New Roman" w:cs="Times New Roman"/>
          <w:sz w:val="23"/>
          <w:szCs w:val="23"/>
        </w:rPr>
        <w:t>u</w:t>
      </w:r>
      <w:r w:rsidR="009C7268" w:rsidRPr="009C7268">
        <w:rPr>
          <w:rFonts w:ascii="Times New Roman" w:hAnsi="Times New Roman" w:cs="Times New Roman"/>
          <w:sz w:val="23"/>
          <w:szCs w:val="23"/>
        </w:rPr>
        <w:t xml:space="preserve"> obsažen</w:t>
      </w:r>
      <w:r>
        <w:rPr>
          <w:rFonts w:ascii="Times New Roman" w:hAnsi="Times New Roman" w:cs="Times New Roman"/>
          <w:sz w:val="23"/>
          <w:szCs w:val="23"/>
        </w:rPr>
        <w:t>ém</w:t>
      </w:r>
      <w:r w:rsidR="009C7268" w:rsidRPr="009C7268">
        <w:rPr>
          <w:rFonts w:ascii="Times New Roman" w:hAnsi="Times New Roman" w:cs="Times New Roman"/>
          <w:sz w:val="23"/>
          <w:szCs w:val="23"/>
        </w:rPr>
        <w:t xml:space="preserve"> v databázi Scopus</w:t>
      </w:r>
      <w:r w:rsidR="009C7268">
        <w:rPr>
          <w:rFonts w:ascii="Times New Roman" w:hAnsi="Times New Roman" w:cs="Times New Roman"/>
          <w:sz w:val="23"/>
          <w:szCs w:val="23"/>
        </w:rPr>
        <w:t>,</w:t>
      </w:r>
    </w:p>
    <w:p w:rsidR="009C7268" w:rsidRPr="009C7268" w:rsidRDefault="00C41DB4" w:rsidP="009C7268">
      <w:pPr>
        <w:pStyle w:val="Odstavecseseznamem"/>
        <w:numPr>
          <w:ilvl w:val="0"/>
          <w:numId w:val="2"/>
        </w:numPr>
        <w:spacing w:after="0"/>
        <w:jc w:val="both"/>
        <w:rPr>
          <w:rFonts w:ascii="Times New Roman" w:hAnsi="Times New Roman" w:cs="Times New Roman"/>
          <w:sz w:val="23"/>
          <w:szCs w:val="23"/>
        </w:rPr>
      </w:pPr>
      <w:r>
        <w:rPr>
          <w:rFonts w:ascii="Times New Roman" w:hAnsi="Times New Roman" w:cs="Times New Roman"/>
          <w:sz w:val="23"/>
          <w:szCs w:val="23"/>
        </w:rPr>
        <w:t>naměřené</w:t>
      </w:r>
      <w:r w:rsidR="009C7268" w:rsidRPr="009C7268">
        <w:rPr>
          <w:rFonts w:ascii="Times New Roman" w:hAnsi="Times New Roman" w:cs="Times New Roman"/>
          <w:sz w:val="23"/>
          <w:szCs w:val="23"/>
        </w:rPr>
        <w:t xml:space="preserve"> intenzit</w:t>
      </w:r>
      <w:r>
        <w:rPr>
          <w:rFonts w:ascii="Times New Roman" w:hAnsi="Times New Roman" w:cs="Times New Roman"/>
          <w:sz w:val="23"/>
          <w:szCs w:val="23"/>
        </w:rPr>
        <w:t xml:space="preserve">y </w:t>
      </w:r>
      <w:r w:rsidR="00C96828">
        <w:rPr>
          <w:rFonts w:ascii="Times New Roman" w:hAnsi="Times New Roman" w:cs="Times New Roman"/>
          <w:sz w:val="23"/>
          <w:szCs w:val="23"/>
        </w:rPr>
        <w:t xml:space="preserve">a především směry </w:t>
      </w:r>
      <w:r>
        <w:rPr>
          <w:rFonts w:ascii="Times New Roman" w:hAnsi="Times New Roman" w:cs="Times New Roman"/>
          <w:sz w:val="23"/>
          <w:szCs w:val="23"/>
        </w:rPr>
        <w:t>doprav</w:t>
      </w:r>
      <w:r w:rsidR="00C96828">
        <w:rPr>
          <w:rFonts w:ascii="Times New Roman" w:hAnsi="Times New Roman" w:cs="Times New Roman"/>
          <w:sz w:val="23"/>
          <w:szCs w:val="23"/>
        </w:rPr>
        <w:t>ních proudů</w:t>
      </w:r>
      <w:r w:rsidR="009C7268" w:rsidRPr="009C7268">
        <w:rPr>
          <w:rFonts w:ascii="Times New Roman" w:hAnsi="Times New Roman" w:cs="Times New Roman"/>
          <w:sz w:val="23"/>
          <w:szCs w:val="23"/>
        </w:rPr>
        <w:t xml:space="preserve"> </w:t>
      </w:r>
      <w:r w:rsidR="009C7268">
        <w:rPr>
          <w:rFonts w:ascii="Times New Roman" w:hAnsi="Times New Roman" w:cs="Times New Roman"/>
          <w:sz w:val="23"/>
          <w:szCs w:val="23"/>
        </w:rPr>
        <w:t xml:space="preserve">na </w:t>
      </w:r>
      <w:r w:rsidR="00C96828">
        <w:rPr>
          <w:rFonts w:ascii="Times New Roman" w:hAnsi="Times New Roman" w:cs="Times New Roman"/>
          <w:sz w:val="23"/>
          <w:szCs w:val="23"/>
        </w:rPr>
        <w:t>křižovatkách</w:t>
      </w:r>
      <w:r>
        <w:rPr>
          <w:rFonts w:ascii="Times New Roman" w:hAnsi="Times New Roman" w:cs="Times New Roman"/>
          <w:sz w:val="23"/>
          <w:szCs w:val="23"/>
        </w:rPr>
        <w:t xml:space="preserve"> a jejich </w:t>
      </w:r>
      <w:r w:rsidR="00D15337">
        <w:rPr>
          <w:rFonts w:ascii="Times New Roman" w:hAnsi="Times New Roman" w:cs="Times New Roman"/>
          <w:sz w:val="23"/>
          <w:szCs w:val="23"/>
        </w:rPr>
        <w:t xml:space="preserve">následné </w:t>
      </w:r>
      <w:r>
        <w:rPr>
          <w:rFonts w:ascii="Times New Roman" w:hAnsi="Times New Roman" w:cs="Times New Roman"/>
          <w:sz w:val="23"/>
          <w:szCs w:val="23"/>
        </w:rPr>
        <w:t>využití</w:t>
      </w:r>
      <w:r w:rsidR="0013693E">
        <w:rPr>
          <w:rFonts w:ascii="Times New Roman" w:hAnsi="Times New Roman" w:cs="Times New Roman"/>
          <w:sz w:val="23"/>
          <w:szCs w:val="23"/>
        </w:rPr>
        <w:t xml:space="preserve"> v závěrečných </w:t>
      </w:r>
      <w:r w:rsidR="00D15337">
        <w:rPr>
          <w:rFonts w:ascii="Times New Roman" w:hAnsi="Times New Roman" w:cs="Times New Roman"/>
          <w:sz w:val="23"/>
          <w:szCs w:val="23"/>
        </w:rPr>
        <w:t xml:space="preserve">pracích </w:t>
      </w:r>
      <w:r>
        <w:rPr>
          <w:rFonts w:ascii="Times New Roman" w:hAnsi="Times New Roman" w:cs="Times New Roman"/>
          <w:sz w:val="23"/>
          <w:szCs w:val="23"/>
        </w:rPr>
        <w:t>student</w:t>
      </w:r>
      <w:r w:rsidR="00D15337">
        <w:rPr>
          <w:rFonts w:ascii="Times New Roman" w:hAnsi="Times New Roman" w:cs="Times New Roman"/>
          <w:sz w:val="23"/>
          <w:szCs w:val="23"/>
        </w:rPr>
        <w:t>ů</w:t>
      </w:r>
      <w:r w:rsidR="00C96828">
        <w:rPr>
          <w:rFonts w:ascii="Times New Roman" w:hAnsi="Times New Roman" w:cs="Times New Roman"/>
          <w:sz w:val="23"/>
          <w:szCs w:val="23"/>
        </w:rPr>
        <w:t xml:space="preserve"> a</w:t>
      </w:r>
      <w:r>
        <w:rPr>
          <w:rFonts w:ascii="Times New Roman" w:hAnsi="Times New Roman" w:cs="Times New Roman"/>
          <w:sz w:val="23"/>
          <w:szCs w:val="23"/>
        </w:rPr>
        <w:t xml:space="preserve"> </w:t>
      </w:r>
      <w:r w:rsidR="00C96828">
        <w:rPr>
          <w:rFonts w:ascii="Times New Roman" w:hAnsi="Times New Roman" w:cs="Times New Roman"/>
          <w:sz w:val="23"/>
          <w:szCs w:val="23"/>
        </w:rPr>
        <w:t>zakázkách</w:t>
      </w:r>
      <w:r>
        <w:rPr>
          <w:rFonts w:ascii="Times New Roman" w:hAnsi="Times New Roman" w:cs="Times New Roman"/>
          <w:sz w:val="23"/>
          <w:szCs w:val="23"/>
        </w:rPr>
        <w:t xml:space="preserve"> katedry</w:t>
      </w:r>
      <w:r w:rsidR="009C7268">
        <w:rPr>
          <w:rFonts w:ascii="Times New Roman" w:hAnsi="Times New Roman" w:cs="Times New Roman"/>
          <w:sz w:val="23"/>
          <w:szCs w:val="23"/>
        </w:rPr>
        <w:t>,</w:t>
      </w:r>
    </w:p>
    <w:p w:rsidR="00C72A83" w:rsidRPr="00296399" w:rsidRDefault="00C96828" w:rsidP="004E7C12">
      <w:pPr>
        <w:pStyle w:val="Odstavecseseznamem"/>
        <w:numPr>
          <w:ilvl w:val="0"/>
          <w:numId w:val="2"/>
        </w:numPr>
        <w:spacing w:after="0"/>
        <w:jc w:val="both"/>
        <w:rPr>
          <w:rFonts w:ascii="Times New Roman" w:hAnsi="Times New Roman" w:cs="Times New Roman"/>
          <w:sz w:val="23"/>
          <w:szCs w:val="23"/>
        </w:rPr>
      </w:pPr>
      <w:r>
        <w:rPr>
          <w:rFonts w:ascii="Times New Roman" w:hAnsi="Times New Roman" w:cs="Times New Roman"/>
          <w:sz w:val="23"/>
          <w:szCs w:val="23"/>
        </w:rPr>
        <w:t>dovybavení dopravní laboratoře o další měřící zařízení – společně se statistickými radary Sierzega SR 4 pořízenými v rámci IGS 2015 bude možné nabízet komplexní služby v rámci provádění a vyhodnocování dopravních průzkumů na pozemních komunikacích</w:t>
      </w:r>
      <w:r w:rsidR="009C7268" w:rsidRPr="009C7268">
        <w:rPr>
          <w:rFonts w:ascii="Times New Roman" w:hAnsi="Times New Roman" w:cs="Times New Roman"/>
          <w:sz w:val="23"/>
          <w:szCs w:val="23"/>
        </w:rPr>
        <w:t>.</w:t>
      </w:r>
    </w:p>
    <w:p w:rsidR="00037262" w:rsidRDefault="00037262" w:rsidP="004E7C12">
      <w:pPr>
        <w:pStyle w:val="Default"/>
        <w:rPr>
          <w:sz w:val="23"/>
          <w:szCs w:val="23"/>
        </w:rPr>
      </w:pPr>
    </w:p>
    <w:p w:rsidR="00C72A83" w:rsidRDefault="00C72A83" w:rsidP="004E7C12">
      <w:pPr>
        <w:pStyle w:val="Default"/>
        <w:rPr>
          <w:sz w:val="23"/>
          <w:szCs w:val="23"/>
        </w:rPr>
      </w:pPr>
      <w:r>
        <w:rPr>
          <w:sz w:val="23"/>
          <w:szCs w:val="23"/>
        </w:rPr>
        <w:t>6. Přínos k rozvoji VŠTE:</w:t>
      </w:r>
    </w:p>
    <w:p w:rsidR="00450ED8" w:rsidRDefault="004C29A6" w:rsidP="004C29A6">
      <w:pPr>
        <w:pStyle w:val="Default"/>
        <w:ind w:firstLine="708"/>
        <w:jc w:val="both"/>
      </w:pPr>
      <w:r>
        <w:t>Podpora výuky</w:t>
      </w:r>
      <w:r w:rsidR="00450ED8">
        <w:t>:</w:t>
      </w:r>
      <w:r>
        <w:t xml:space="preserve"> studenti budou schopni </w:t>
      </w:r>
      <w:r w:rsidR="003947D3">
        <w:t xml:space="preserve">ovládat tato zařízení a jimi </w:t>
      </w:r>
      <w:r>
        <w:t xml:space="preserve">získaná data </w:t>
      </w:r>
      <w:r w:rsidR="008D4F77">
        <w:t>využí</w:t>
      </w:r>
      <w:r w:rsidR="003947D3">
        <w:t>vat</w:t>
      </w:r>
      <w:r>
        <w:t xml:space="preserve"> při zpracovávání </w:t>
      </w:r>
      <w:r w:rsidR="003947D3">
        <w:t xml:space="preserve">závěrečných </w:t>
      </w:r>
      <w:r>
        <w:t>prací</w:t>
      </w:r>
      <w:r w:rsidR="003947D3">
        <w:t xml:space="preserve"> na VŠTE</w:t>
      </w:r>
      <w:r>
        <w:t>.</w:t>
      </w:r>
    </w:p>
    <w:p w:rsidR="00450ED8" w:rsidRDefault="00450ED8" w:rsidP="00296399">
      <w:pPr>
        <w:pStyle w:val="Default"/>
        <w:ind w:firstLine="708"/>
        <w:jc w:val="both"/>
        <w:rPr>
          <w:sz w:val="23"/>
          <w:szCs w:val="23"/>
        </w:rPr>
      </w:pPr>
      <w:r>
        <w:t>Vědecko – výzkumná</w:t>
      </w:r>
      <w:r w:rsidR="003947D3">
        <w:t xml:space="preserve"> a vedlejší hospodářská činnost</w:t>
      </w:r>
      <w:r>
        <w:t xml:space="preserve"> katedry: pořízené měři</w:t>
      </w:r>
      <w:r w:rsidR="004C29A6">
        <w:t xml:space="preserve">cí přístroje </w:t>
      </w:r>
      <w:r>
        <w:t>naleznou uplatnění také při zpracování</w:t>
      </w:r>
      <w:r w:rsidR="004C29A6">
        <w:t xml:space="preserve"> zakázek menšího </w:t>
      </w:r>
      <w:r>
        <w:t>rozsahu v oblast</w:t>
      </w:r>
      <w:r w:rsidR="003947D3">
        <w:t>i</w:t>
      </w:r>
      <w:r>
        <w:t xml:space="preserve"> </w:t>
      </w:r>
      <w:r w:rsidR="003947D3">
        <w:t xml:space="preserve">především provádění směrových dopravních průzkumů </w:t>
      </w:r>
      <w:r>
        <w:t xml:space="preserve">na </w:t>
      </w:r>
      <w:r w:rsidR="003947D3">
        <w:t>křižovatkách</w:t>
      </w:r>
      <w:r w:rsidR="008D4F77">
        <w:t xml:space="preserve"> (</w:t>
      </w:r>
      <w:r w:rsidR="003947D3">
        <w:t xml:space="preserve">kromě intenzit </w:t>
      </w:r>
      <w:r w:rsidR="008D4F77">
        <w:t>doprav</w:t>
      </w:r>
      <w:r w:rsidR="003947D3">
        <w:t>y bude možné zařízeními zaznamenávat také jednotlivé směry dopravních proudů)</w:t>
      </w:r>
      <w:r>
        <w:t>.</w:t>
      </w:r>
    </w:p>
    <w:p w:rsidR="00450ED8" w:rsidRDefault="00450ED8" w:rsidP="002E4280">
      <w:pPr>
        <w:pStyle w:val="Default"/>
        <w:spacing w:after="120"/>
        <w:rPr>
          <w:sz w:val="23"/>
          <w:szCs w:val="23"/>
        </w:rPr>
      </w:pPr>
    </w:p>
    <w:p w:rsidR="00C72A83" w:rsidRDefault="00C72A83" w:rsidP="004E7C12">
      <w:pPr>
        <w:pStyle w:val="Default"/>
        <w:rPr>
          <w:sz w:val="23"/>
          <w:szCs w:val="23"/>
        </w:rPr>
      </w:pPr>
      <w:r>
        <w:rPr>
          <w:sz w:val="23"/>
          <w:szCs w:val="23"/>
        </w:rPr>
        <w:t>7. Cílová skupina:</w:t>
      </w:r>
    </w:p>
    <w:p w:rsidR="00C72A83" w:rsidRDefault="004C29A6" w:rsidP="00603E9F">
      <w:pPr>
        <w:pStyle w:val="Default"/>
        <w:jc w:val="both"/>
        <w:rPr>
          <w:sz w:val="23"/>
          <w:szCs w:val="23"/>
        </w:rPr>
      </w:pPr>
      <w:r>
        <w:rPr>
          <w:sz w:val="23"/>
          <w:szCs w:val="23"/>
        </w:rPr>
        <w:tab/>
        <w:t>Studenti bakalářského a magisterského studijního programu, akademičtí a výzkumní pracovníci VŠTE.</w:t>
      </w:r>
    </w:p>
    <w:p w:rsidR="00037262" w:rsidRDefault="00037262" w:rsidP="002E4280">
      <w:pPr>
        <w:pStyle w:val="Default"/>
        <w:spacing w:after="120"/>
        <w:rPr>
          <w:sz w:val="23"/>
          <w:szCs w:val="23"/>
        </w:rPr>
      </w:pPr>
    </w:p>
    <w:p w:rsidR="00C72A83" w:rsidRPr="00C72A83" w:rsidRDefault="00C72A83" w:rsidP="004E7C12">
      <w:pPr>
        <w:pStyle w:val="Default"/>
        <w:rPr>
          <w:sz w:val="23"/>
          <w:szCs w:val="23"/>
        </w:rPr>
      </w:pPr>
      <w:r w:rsidRPr="00C72A83">
        <w:rPr>
          <w:sz w:val="23"/>
          <w:szCs w:val="23"/>
        </w:rPr>
        <w:t>8. Současný stav řešeného problému</w:t>
      </w:r>
      <w:r w:rsidR="005A1908">
        <w:rPr>
          <w:sz w:val="23"/>
          <w:szCs w:val="23"/>
        </w:rPr>
        <w:t>:</w:t>
      </w:r>
    </w:p>
    <w:p w:rsidR="00281037" w:rsidRDefault="008D4F77" w:rsidP="00281037">
      <w:pPr>
        <w:pStyle w:val="Default"/>
        <w:ind w:firstLine="708"/>
        <w:jc w:val="both"/>
      </w:pPr>
      <w:r>
        <w:t>K dnešnímu dn</w:t>
      </w:r>
      <w:r w:rsidR="00603E9F">
        <w:t xml:space="preserve">i Katedra dopravy a logistiky </w:t>
      </w:r>
      <w:r>
        <w:t xml:space="preserve">disponuje </w:t>
      </w:r>
      <w:r w:rsidR="00603E9F">
        <w:t>2 statistickými radary značky Sierzega SR4</w:t>
      </w:r>
      <w:r>
        <w:t xml:space="preserve"> pro </w:t>
      </w:r>
      <w:r w:rsidR="00603E9F">
        <w:t xml:space="preserve">profilové </w:t>
      </w:r>
      <w:r>
        <w:t xml:space="preserve">měření intenzit </w:t>
      </w:r>
      <w:r w:rsidR="00603E9F">
        <w:t>dopravy</w:t>
      </w:r>
      <w:r>
        <w:t xml:space="preserve">, které </w:t>
      </w:r>
      <w:r w:rsidR="00603E9F">
        <w:t>se již několikrát</w:t>
      </w:r>
      <w:r>
        <w:t xml:space="preserve"> </w:t>
      </w:r>
      <w:r w:rsidR="00281037">
        <w:t>uplatnily</w:t>
      </w:r>
      <w:r w:rsidR="00603E9F">
        <w:t xml:space="preserve"> </w:t>
      </w:r>
      <w:r>
        <w:t>nejen v pedagogické a vědecko – výzkumné sféře</w:t>
      </w:r>
      <w:r w:rsidR="00603E9F">
        <w:t xml:space="preserve"> při zpracovávání závěrečných prací studentů VŠTE</w:t>
      </w:r>
      <w:r>
        <w:t>, ale také při zpracovávání zakázek drobného charakteru (např. dopravní průzkumy ve měst</w:t>
      </w:r>
      <w:r w:rsidR="00281037">
        <w:t>ech</w:t>
      </w:r>
      <w:r>
        <w:t xml:space="preserve"> Č</w:t>
      </w:r>
      <w:r w:rsidR="00281037">
        <w:t xml:space="preserve">eské </w:t>
      </w:r>
      <w:r>
        <w:t>B</w:t>
      </w:r>
      <w:r w:rsidR="00281037">
        <w:t>udějovice</w:t>
      </w:r>
      <w:r>
        <w:t xml:space="preserve">, </w:t>
      </w:r>
      <w:r w:rsidR="00281037">
        <w:t>Lišov, Nové Hrady, Frymburk</w:t>
      </w:r>
      <w:r>
        <w:t xml:space="preserve"> a</w:t>
      </w:r>
      <w:r w:rsidR="00281037">
        <w:t>t</w:t>
      </w:r>
      <w:r>
        <w:t>d.).</w:t>
      </w:r>
      <w:r w:rsidR="00281037">
        <w:t xml:space="preserve"> Pořízením 2 ks sčítacích zařízení značky TDC U</w:t>
      </w:r>
      <w:r w:rsidR="0082601F">
        <w:t>LTRA</w:t>
      </w:r>
      <w:r w:rsidR="00281037">
        <w:t xml:space="preserve"> pro sběr dopravních dat v dopravních uzlech tak dojde k dovybavení </w:t>
      </w:r>
      <w:r w:rsidR="00C144F7">
        <w:t xml:space="preserve">dopravní </w:t>
      </w:r>
      <w:r w:rsidR="00281037">
        <w:t>laboratoře o nová zařízení, která výrazně usnadní práci při sběru dat</w:t>
      </w:r>
      <w:r w:rsidR="00C144F7">
        <w:t xml:space="preserve"> v terénu</w:t>
      </w:r>
      <w:r w:rsidR="00281037">
        <w:t>.</w:t>
      </w:r>
      <w:r w:rsidR="00C144F7">
        <w:t xml:space="preserve"> Místo ručně vyplňovaných formulářů o křižovatkových pohybech vozidel tak budou všechny informace zaznamenávány rovnou do paměti zařízení (datum, čas, kategorie vozidel, směrovost atd.). Za použití specializovaného softwaru PETRAPro Software bude navíc možné takto získaná data rovnou elektronicky vyhodnotit bez zdlouhavého přepisování ručně psaných formulářů do elektronické podoby.</w:t>
      </w:r>
    </w:p>
    <w:p w:rsidR="00C144F7" w:rsidRDefault="00296399" w:rsidP="00296399">
      <w:pPr>
        <w:pStyle w:val="Default"/>
        <w:ind w:firstLine="708"/>
        <w:jc w:val="both"/>
      </w:pPr>
      <w:r>
        <w:t xml:space="preserve">Řešitelé předkládaného návrhu projektu mají dlouhodobé zkušenosti s měřením intenzit dopravy. </w:t>
      </w:r>
      <w:r w:rsidR="00035CE3">
        <w:t>Navrhovatelé grantu k</w:t>
      </w:r>
      <w:r>
        <w:t>romě několika menších zakázek</w:t>
      </w:r>
      <w:r w:rsidR="00C144F7">
        <w:t xml:space="preserve"> profilového sčítání dopravy</w:t>
      </w:r>
      <w:r w:rsidR="00035CE3">
        <w:t xml:space="preserve"> na jaře 2017 zorganizovali a společně se studenty vyhodnotili velký směrový a dotazníkový průzkum v okolí Nemocnice České Budějovice a přilehlém území. Právě při řešení obdobných zakázek by bylo účelné (alespoň na silně vytížených křižovatkách) uplatnit zařízení TDC U</w:t>
      </w:r>
      <w:r w:rsidR="0082601F">
        <w:t>LTRA</w:t>
      </w:r>
      <w:r w:rsidR="00035CE3">
        <w:t>, které jednak sníží mzdové náklady sčítačů, jednak usnadní následné vyhodnocení změřených dat</w:t>
      </w:r>
      <w:r w:rsidR="00671FFE">
        <w:t>, jelikož současná zařízení (detektory Sierzega SR 4) neumožňují sledování intenzit dopravy ve všech směrech na křižovatce. Předmětné zařízení je rovněž kompatibilní se SW PTV Vissim, který je využíván k modelování silničních sítí a mikrosimulaci dopravy.</w:t>
      </w:r>
    </w:p>
    <w:p w:rsidR="00C72A83" w:rsidRPr="00C72A83" w:rsidRDefault="00C72A83" w:rsidP="002E4280">
      <w:pPr>
        <w:pStyle w:val="Default"/>
        <w:spacing w:after="120"/>
        <w:rPr>
          <w:sz w:val="23"/>
          <w:szCs w:val="23"/>
        </w:rPr>
      </w:pPr>
    </w:p>
    <w:p w:rsidR="00C72A83" w:rsidRDefault="00C72A83" w:rsidP="004E7C12">
      <w:pPr>
        <w:pStyle w:val="Default"/>
        <w:rPr>
          <w:sz w:val="23"/>
          <w:szCs w:val="23"/>
        </w:rPr>
      </w:pPr>
      <w:r w:rsidRPr="00C72A83">
        <w:rPr>
          <w:sz w:val="23"/>
          <w:szCs w:val="23"/>
        </w:rPr>
        <w:t>9. Cíle řešení</w:t>
      </w:r>
      <w:r w:rsidR="005A1908">
        <w:rPr>
          <w:sz w:val="23"/>
          <w:szCs w:val="23"/>
        </w:rPr>
        <w:t>:</w:t>
      </w:r>
    </w:p>
    <w:p w:rsidR="00037262" w:rsidRPr="00B85272" w:rsidRDefault="00A866A7" w:rsidP="00035CE3">
      <w:pPr>
        <w:pStyle w:val="Default"/>
        <w:jc w:val="both"/>
      </w:pPr>
      <w:r>
        <w:rPr>
          <w:sz w:val="23"/>
          <w:szCs w:val="23"/>
        </w:rPr>
        <w:tab/>
        <w:t xml:space="preserve">Cílem </w:t>
      </w:r>
      <w:r>
        <w:t>interního grantu s názvem „</w:t>
      </w:r>
      <w:r w:rsidR="00035CE3" w:rsidRPr="00035CE3">
        <w:rPr>
          <w:sz w:val="23"/>
          <w:szCs w:val="23"/>
        </w:rPr>
        <w:t>Dovybavení dopravní laboratoře specializovanými zařízeními pro sběr dopravních dat a zaznamenávání křižovatkových pohybů vozidel</w:t>
      </w:r>
      <w:r>
        <w:t>“ je pořídit 2</w:t>
      </w:r>
      <w:r w:rsidR="00035CE3">
        <w:t> </w:t>
      </w:r>
      <w:r>
        <w:t xml:space="preserve">ks </w:t>
      </w:r>
      <w:r w:rsidR="00DD64DD">
        <w:t xml:space="preserve">sčítacích </w:t>
      </w:r>
      <w:r w:rsidR="00035CE3">
        <w:t>zařízení</w:t>
      </w:r>
      <w:r>
        <w:t xml:space="preserve"> značky </w:t>
      </w:r>
      <w:r w:rsidR="00DD64DD">
        <w:t>TDC U</w:t>
      </w:r>
      <w:r w:rsidR="0082601F">
        <w:t>LTRA</w:t>
      </w:r>
      <w:r>
        <w:t xml:space="preserve"> </w:t>
      </w:r>
      <w:r w:rsidR="00DD64DD">
        <w:t xml:space="preserve">pro sběr dopravních dat v dopravních uzlech </w:t>
      </w:r>
      <w:r w:rsidR="0082601F">
        <w:t>a </w:t>
      </w:r>
      <w:r>
        <w:t xml:space="preserve">tato zařízení uplatnit </w:t>
      </w:r>
      <w:r w:rsidR="00DD64DD">
        <w:t xml:space="preserve">společně s již pořízenými statistickými radary </w:t>
      </w:r>
      <w:r>
        <w:t xml:space="preserve">jednak ve výuce (především při zpracovávání závěrečných prací studentů), jednak </w:t>
      </w:r>
      <w:r w:rsidR="00DD64DD">
        <w:t>v rámci vedlejší hospodářské činnosti katedry (řešení zakázek).</w:t>
      </w:r>
    </w:p>
    <w:p w:rsidR="004E7C12" w:rsidRDefault="004E7C12" w:rsidP="002E4280">
      <w:pPr>
        <w:pStyle w:val="Default"/>
        <w:spacing w:after="120"/>
        <w:rPr>
          <w:sz w:val="23"/>
          <w:szCs w:val="23"/>
        </w:rPr>
      </w:pPr>
    </w:p>
    <w:p w:rsidR="004E7C12" w:rsidRDefault="00B1034B" w:rsidP="004E7C12">
      <w:pPr>
        <w:pStyle w:val="Default"/>
        <w:rPr>
          <w:sz w:val="23"/>
          <w:szCs w:val="23"/>
        </w:rPr>
      </w:pPr>
      <w:r>
        <w:rPr>
          <w:sz w:val="23"/>
          <w:szCs w:val="23"/>
        </w:rPr>
        <w:t>10</w:t>
      </w:r>
      <w:r w:rsidR="004E7C12">
        <w:rPr>
          <w:sz w:val="23"/>
          <w:szCs w:val="23"/>
        </w:rPr>
        <w:t>. Harmonogram prací v roce 20</w:t>
      </w:r>
      <w:r w:rsidR="00C72A83">
        <w:rPr>
          <w:sz w:val="23"/>
          <w:szCs w:val="23"/>
        </w:rPr>
        <w:t>1</w:t>
      </w:r>
      <w:r w:rsidR="00DD64DD">
        <w:rPr>
          <w:sz w:val="23"/>
          <w:szCs w:val="23"/>
        </w:rPr>
        <w:t>8</w:t>
      </w:r>
      <w:r w:rsidR="004E7C12">
        <w:rPr>
          <w:sz w:val="23"/>
          <w:szCs w:val="23"/>
        </w:rPr>
        <w:t xml:space="preserve">: </w:t>
      </w:r>
    </w:p>
    <w:p w:rsidR="004E7C12" w:rsidRDefault="00A866A7" w:rsidP="0082601F">
      <w:pPr>
        <w:pStyle w:val="Default"/>
        <w:ind w:left="708"/>
        <w:jc w:val="both"/>
        <w:rPr>
          <w:sz w:val="23"/>
          <w:szCs w:val="23"/>
        </w:rPr>
      </w:pPr>
      <w:r>
        <w:rPr>
          <w:sz w:val="23"/>
          <w:szCs w:val="23"/>
        </w:rPr>
        <w:t>- pořízení 2</w:t>
      </w:r>
      <w:r w:rsidR="008D4F77">
        <w:rPr>
          <w:sz w:val="23"/>
          <w:szCs w:val="23"/>
        </w:rPr>
        <w:t xml:space="preserve"> </w:t>
      </w:r>
      <w:r>
        <w:rPr>
          <w:sz w:val="23"/>
          <w:szCs w:val="23"/>
        </w:rPr>
        <w:t xml:space="preserve">ks </w:t>
      </w:r>
      <w:r w:rsidR="00DD64DD">
        <w:rPr>
          <w:sz w:val="23"/>
          <w:szCs w:val="23"/>
        </w:rPr>
        <w:t>sčítacích zařízení TDC U</w:t>
      </w:r>
      <w:r w:rsidR="0082601F">
        <w:rPr>
          <w:sz w:val="23"/>
          <w:szCs w:val="23"/>
        </w:rPr>
        <w:t>LTRA</w:t>
      </w:r>
      <w:r>
        <w:rPr>
          <w:sz w:val="23"/>
          <w:szCs w:val="23"/>
        </w:rPr>
        <w:t xml:space="preserve"> na základě výběrového řízení</w:t>
      </w:r>
      <w:r w:rsidR="0082601F">
        <w:rPr>
          <w:sz w:val="23"/>
          <w:szCs w:val="23"/>
        </w:rPr>
        <w:t xml:space="preserve"> </w:t>
      </w:r>
      <w:r w:rsidR="008D4F77">
        <w:rPr>
          <w:sz w:val="23"/>
          <w:szCs w:val="23"/>
        </w:rPr>
        <w:t>(</w:t>
      </w:r>
      <w:r w:rsidR="00DD64DD">
        <w:rPr>
          <w:sz w:val="23"/>
          <w:szCs w:val="23"/>
        </w:rPr>
        <w:t>IV–V</w:t>
      </w:r>
      <w:r w:rsidR="0082601F">
        <w:rPr>
          <w:sz w:val="23"/>
          <w:szCs w:val="23"/>
        </w:rPr>
        <w:t> </w:t>
      </w:r>
      <w:r w:rsidR="00DD64DD">
        <w:rPr>
          <w:sz w:val="23"/>
          <w:szCs w:val="23"/>
        </w:rPr>
        <w:t>/</w:t>
      </w:r>
      <w:r w:rsidR="0082601F">
        <w:rPr>
          <w:sz w:val="23"/>
          <w:szCs w:val="23"/>
        </w:rPr>
        <w:t> </w:t>
      </w:r>
      <w:r w:rsidR="008D4F77">
        <w:rPr>
          <w:sz w:val="23"/>
          <w:szCs w:val="23"/>
        </w:rPr>
        <w:t>201</w:t>
      </w:r>
      <w:r w:rsidR="00DD64DD">
        <w:rPr>
          <w:sz w:val="23"/>
          <w:szCs w:val="23"/>
        </w:rPr>
        <w:t>8</w:t>
      </w:r>
      <w:r w:rsidR="008D4F77">
        <w:rPr>
          <w:sz w:val="23"/>
          <w:szCs w:val="23"/>
        </w:rPr>
        <w:t>)</w:t>
      </w:r>
      <w:r w:rsidR="00DD64DD">
        <w:rPr>
          <w:sz w:val="23"/>
          <w:szCs w:val="23"/>
        </w:rPr>
        <w:t>,</w:t>
      </w:r>
    </w:p>
    <w:p w:rsidR="00A866A7" w:rsidRDefault="00A866A7" w:rsidP="00DD64DD">
      <w:pPr>
        <w:pStyle w:val="Default"/>
        <w:ind w:left="708"/>
        <w:jc w:val="both"/>
        <w:rPr>
          <w:sz w:val="23"/>
          <w:szCs w:val="23"/>
        </w:rPr>
      </w:pPr>
      <w:r>
        <w:rPr>
          <w:sz w:val="23"/>
          <w:szCs w:val="23"/>
        </w:rPr>
        <w:t>- zkušební měření v</w:t>
      </w:r>
      <w:r w:rsidR="008D4F77">
        <w:rPr>
          <w:sz w:val="23"/>
          <w:szCs w:val="23"/>
        </w:rPr>
        <w:t> </w:t>
      </w:r>
      <w:r>
        <w:rPr>
          <w:sz w:val="23"/>
          <w:szCs w:val="23"/>
        </w:rPr>
        <w:t>terénu</w:t>
      </w:r>
      <w:r w:rsidR="008D4F77">
        <w:rPr>
          <w:sz w:val="23"/>
          <w:szCs w:val="23"/>
        </w:rPr>
        <w:t xml:space="preserve"> za účasti studentů</w:t>
      </w:r>
      <w:r>
        <w:rPr>
          <w:sz w:val="23"/>
          <w:szCs w:val="23"/>
        </w:rPr>
        <w:t>, kalibrace přístroj</w:t>
      </w:r>
      <w:r w:rsidR="00DD64DD">
        <w:rPr>
          <w:sz w:val="23"/>
          <w:szCs w:val="23"/>
        </w:rPr>
        <w:t>ů</w:t>
      </w:r>
      <w:r>
        <w:rPr>
          <w:sz w:val="23"/>
          <w:szCs w:val="23"/>
        </w:rPr>
        <w:t xml:space="preserve"> a jeho propojení se speciálním softwarem</w:t>
      </w:r>
      <w:r w:rsidR="00DD64DD">
        <w:rPr>
          <w:sz w:val="23"/>
          <w:szCs w:val="23"/>
        </w:rPr>
        <w:t xml:space="preserve"> PETRAPro Software (VI / 2018),</w:t>
      </w:r>
    </w:p>
    <w:p w:rsidR="00296399" w:rsidRDefault="00DD64DD" w:rsidP="00DD64DD">
      <w:pPr>
        <w:pStyle w:val="Default"/>
        <w:ind w:left="708"/>
        <w:jc w:val="both"/>
        <w:rPr>
          <w:sz w:val="23"/>
          <w:szCs w:val="23"/>
        </w:rPr>
      </w:pPr>
      <w:r>
        <w:rPr>
          <w:sz w:val="23"/>
          <w:szCs w:val="23"/>
        </w:rPr>
        <w:t>- v</w:t>
      </w:r>
      <w:r w:rsidR="00296399">
        <w:rPr>
          <w:sz w:val="23"/>
          <w:szCs w:val="23"/>
        </w:rPr>
        <w:t xml:space="preserve">yužití </w:t>
      </w:r>
      <w:r>
        <w:rPr>
          <w:sz w:val="23"/>
          <w:szCs w:val="23"/>
        </w:rPr>
        <w:t>při zpracovávání závěrečných prací studentů</w:t>
      </w:r>
      <w:r w:rsidR="00296399">
        <w:rPr>
          <w:sz w:val="23"/>
          <w:szCs w:val="23"/>
        </w:rPr>
        <w:t xml:space="preserve"> </w:t>
      </w:r>
      <w:r>
        <w:rPr>
          <w:sz w:val="23"/>
          <w:szCs w:val="23"/>
        </w:rPr>
        <w:t>jako</w:t>
      </w:r>
      <w:r w:rsidR="00296399">
        <w:rPr>
          <w:sz w:val="23"/>
          <w:szCs w:val="23"/>
        </w:rPr>
        <w:t xml:space="preserve"> prostředek pro </w:t>
      </w:r>
      <w:r>
        <w:rPr>
          <w:sz w:val="23"/>
          <w:szCs w:val="23"/>
        </w:rPr>
        <w:t xml:space="preserve">usnadnění práce při </w:t>
      </w:r>
      <w:r w:rsidR="00296399">
        <w:rPr>
          <w:sz w:val="23"/>
          <w:szCs w:val="23"/>
        </w:rPr>
        <w:t>získávání dat</w:t>
      </w:r>
      <w:r>
        <w:rPr>
          <w:sz w:val="23"/>
          <w:szCs w:val="23"/>
        </w:rPr>
        <w:t xml:space="preserve"> v terénu</w:t>
      </w:r>
      <w:r w:rsidR="00296399">
        <w:rPr>
          <w:sz w:val="23"/>
          <w:szCs w:val="23"/>
        </w:rPr>
        <w:t xml:space="preserve"> (od </w:t>
      </w:r>
      <w:r>
        <w:rPr>
          <w:sz w:val="23"/>
          <w:szCs w:val="23"/>
        </w:rPr>
        <w:t>VII</w:t>
      </w:r>
      <w:r w:rsidR="00296399">
        <w:rPr>
          <w:sz w:val="23"/>
          <w:szCs w:val="23"/>
        </w:rPr>
        <w:t>)</w:t>
      </w:r>
      <w:r>
        <w:rPr>
          <w:sz w:val="23"/>
          <w:szCs w:val="23"/>
        </w:rPr>
        <w:t>,</w:t>
      </w:r>
    </w:p>
    <w:p w:rsidR="00DD64DD" w:rsidRDefault="00DD64DD" w:rsidP="00DD64DD">
      <w:pPr>
        <w:pStyle w:val="Default"/>
        <w:ind w:left="708"/>
        <w:jc w:val="both"/>
        <w:rPr>
          <w:sz w:val="23"/>
          <w:szCs w:val="23"/>
        </w:rPr>
      </w:pPr>
      <w:r>
        <w:rPr>
          <w:sz w:val="23"/>
          <w:szCs w:val="23"/>
        </w:rPr>
        <w:t>- případné využití při řešení zakázek katedry (od VII),</w:t>
      </w:r>
    </w:p>
    <w:p w:rsidR="00296399" w:rsidRDefault="00296399" w:rsidP="008D4F77">
      <w:pPr>
        <w:pStyle w:val="Default"/>
        <w:ind w:firstLine="708"/>
        <w:jc w:val="both"/>
        <w:rPr>
          <w:sz w:val="23"/>
          <w:szCs w:val="23"/>
        </w:rPr>
      </w:pPr>
      <w:r>
        <w:rPr>
          <w:sz w:val="23"/>
          <w:szCs w:val="23"/>
        </w:rPr>
        <w:t>- podání článk</w:t>
      </w:r>
      <w:r w:rsidR="00DD64DD">
        <w:rPr>
          <w:sz w:val="23"/>
          <w:szCs w:val="23"/>
        </w:rPr>
        <w:t>u</w:t>
      </w:r>
      <w:r>
        <w:rPr>
          <w:sz w:val="23"/>
          <w:szCs w:val="23"/>
        </w:rPr>
        <w:t xml:space="preserve"> do časopis</w:t>
      </w:r>
      <w:r w:rsidR="00DD64DD">
        <w:rPr>
          <w:sz w:val="23"/>
          <w:szCs w:val="23"/>
        </w:rPr>
        <w:t>u</w:t>
      </w:r>
      <w:r>
        <w:rPr>
          <w:sz w:val="23"/>
          <w:szCs w:val="23"/>
        </w:rPr>
        <w:t xml:space="preserve"> </w:t>
      </w:r>
      <w:r w:rsidR="0082601F">
        <w:rPr>
          <w:sz w:val="23"/>
          <w:szCs w:val="23"/>
        </w:rPr>
        <w:t>evidova</w:t>
      </w:r>
      <w:r>
        <w:rPr>
          <w:sz w:val="23"/>
          <w:szCs w:val="23"/>
        </w:rPr>
        <w:t>n</w:t>
      </w:r>
      <w:r w:rsidR="00DD64DD">
        <w:rPr>
          <w:sz w:val="23"/>
          <w:szCs w:val="23"/>
        </w:rPr>
        <w:t>ém</w:t>
      </w:r>
      <w:r>
        <w:rPr>
          <w:sz w:val="23"/>
          <w:szCs w:val="23"/>
        </w:rPr>
        <w:t xml:space="preserve"> v databázi SCOPUS (</w:t>
      </w:r>
      <w:r w:rsidR="00DD64DD">
        <w:rPr>
          <w:sz w:val="23"/>
          <w:szCs w:val="23"/>
        </w:rPr>
        <w:t>X</w:t>
      </w:r>
      <w:r>
        <w:rPr>
          <w:sz w:val="23"/>
          <w:szCs w:val="23"/>
        </w:rPr>
        <w:t xml:space="preserve"> </w:t>
      </w:r>
      <w:r w:rsidR="00DD64DD">
        <w:rPr>
          <w:sz w:val="23"/>
          <w:szCs w:val="23"/>
        </w:rPr>
        <w:t>/ 2018</w:t>
      </w:r>
      <w:r>
        <w:rPr>
          <w:sz w:val="23"/>
          <w:szCs w:val="23"/>
        </w:rPr>
        <w:t>)</w:t>
      </w:r>
    </w:p>
    <w:p w:rsidR="00C72A83" w:rsidRDefault="00C72A83" w:rsidP="002E4280">
      <w:pPr>
        <w:pStyle w:val="Default"/>
        <w:spacing w:after="120"/>
        <w:rPr>
          <w:sz w:val="23"/>
          <w:szCs w:val="23"/>
        </w:rPr>
      </w:pPr>
    </w:p>
    <w:p w:rsidR="004E7C12" w:rsidRDefault="00B1034B" w:rsidP="004E7C12">
      <w:pPr>
        <w:pStyle w:val="Default"/>
        <w:rPr>
          <w:sz w:val="23"/>
          <w:szCs w:val="23"/>
        </w:rPr>
      </w:pPr>
      <w:r>
        <w:rPr>
          <w:sz w:val="23"/>
          <w:szCs w:val="23"/>
        </w:rPr>
        <w:t>11</w:t>
      </w:r>
      <w:r w:rsidR="004E7C12">
        <w:rPr>
          <w:sz w:val="23"/>
          <w:szCs w:val="23"/>
        </w:rPr>
        <w:t xml:space="preserve">. Rozpočet projektu: </w:t>
      </w:r>
    </w:p>
    <w:p w:rsidR="00C72A83" w:rsidRDefault="00C72A83" w:rsidP="004E7C12">
      <w:pPr>
        <w:pStyle w:val="Default"/>
        <w:rPr>
          <w:sz w:val="23"/>
          <w:szCs w:val="23"/>
        </w:rPr>
      </w:pPr>
    </w:p>
    <w:tbl>
      <w:tblPr>
        <w:tblStyle w:val="Mkatabulky"/>
        <w:tblW w:w="0" w:type="auto"/>
        <w:jc w:val="center"/>
        <w:tblLook w:val="04A0" w:firstRow="1" w:lastRow="0" w:firstColumn="1" w:lastColumn="0" w:noHBand="0" w:noVBand="1"/>
      </w:tblPr>
      <w:tblGrid>
        <w:gridCol w:w="3070"/>
        <w:gridCol w:w="3071"/>
      </w:tblGrid>
      <w:tr w:rsidR="00C72A83" w:rsidTr="00C72A83">
        <w:trPr>
          <w:jc w:val="center"/>
        </w:trPr>
        <w:tc>
          <w:tcPr>
            <w:tcW w:w="3070" w:type="dxa"/>
          </w:tcPr>
          <w:p w:rsidR="00C72A83" w:rsidRPr="00C72A83" w:rsidRDefault="00C72A83" w:rsidP="00C72A83">
            <w:pPr>
              <w:jc w:val="center"/>
              <w:rPr>
                <w:b/>
              </w:rPr>
            </w:pPr>
            <w:r w:rsidRPr="00C72A83">
              <w:rPr>
                <w:b/>
              </w:rPr>
              <w:t>Kategorie</w:t>
            </w:r>
          </w:p>
        </w:tc>
        <w:tc>
          <w:tcPr>
            <w:tcW w:w="3071" w:type="dxa"/>
          </w:tcPr>
          <w:p w:rsidR="00C72A83" w:rsidRPr="00C72A83" w:rsidRDefault="00C72A83" w:rsidP="00C72A83">
            <w:pPr>
              <w:pStyle w:val="Default"/>
              <w:jc w:val="center"/>
              <w:rPr>
                <w:b/>
                <w:sz w:val="23"/>
                <w:szCs w:val="23"/>
              </w:rPr>
            </w:pPr>
            <w:r w:rsidRPr="00C72A83">
              <w:rPr>
                <w:b/>
                <w:sz w:val="23"/>
                <w:szCs w:val="23"/>
              </w:rPr>
              <w:t>Částka</w:t>
            </w:r>
            <w:r>
              <w:rPr>
                <w:b/>
                <w:sz w:val="23"/>
                <w:szCs w:val="23"/>
              </w:rPr>
              <w:t xml:space="preserve"> </w:t>
            </w:r>
            <w:r>
              <w:rPr>
                <w:b/>
                <w:sz w:val="23"/>
                <w:szCs w:val="23"/>
                <w:lang w:val="en-US"/>
              </w:rPr>
              <w:t>[Kč]</w:t>
            </w:r>
          </w:p>
        </w:tc>
      </w:tr>
      <w:tr w:rsidR="00C72A83" w:rsidTr="00C72A83">
        <w:trPr>
          <w:jc w:val="center"/>
        </w:trPr>
        <w:tc>
          <w:tcPr>
            <w:tcW w:w="3070" w:type="dxa"/>
          </w:tcPr>
          <w:p w:rsidR="00C72A83" w:rsidRPr="00C72A83" w:rsidRDefault="00C72A83" w:rsidP="00923A45">
            <w:pPr>
              <w:jc w:val="both"/>
            </w:pPr>
            <w:r>
              <w:t>Dlouhodobý nehmotný majetek</w:t>
            </w:r>
          </w:p>
        </w:tc>
        <w:tc>
          <w:tcPr>
            <w:tcW w:w="3071" w:type="dxa"/>
          </w:tcPr>
          <w:p w:rsidR="00C72A83" w:rsidRDefault="00A866A7" w:rsidP="004E7C12">
            <w:pPr>
              <w:pStyle w:val="Default"/>
              <w:rPr>
                <w:sz w:val="23"/>
                <w:szCs w:val="23"/>
              </w:rPr>
            </w:pPr>
            <w:r>
              <w:rPr>
                <w:sz w:val="23"/>
                <w:szCs w:val="23"/>
              </w:rPr>
              <w:t>0,-</w:t>
            </w:r>
          </w:p>
        </w:tc>
      </w:tr>
      <w:tr w:rsidR="00C72A83" w:rsidTr="00C72A83">
        <w:trPr>
          <w:jc w:val="center"/>
        </w:trPr>
        <w:tc>
          <w:tcPr>
            <w:tcW w:w="3070" w:type="dxa"/>
          </w:tcPr>
          <w:p w:rsidR="00C72A83" w:rsidRDefault="00C72A83" w:rsidP="004E7C12">
            <w:pPr>
              <w:pStyle w:val="Default"/>
              <w:rPr>
                <w:sz w:val="23"/>
                <w:szCs w:val="23"/>
              </w:rPr>
            </w:pPr>
            <w:r>
              <w:t>Materiální n</w:t>
            </w:r>
            <w:r w:rsidR="00923A45">
              <w:t>áklady, včetně drobného majetku</w:t>
            </w:r>
          </w:p>
        </w:tc>
        <w:tc>
          <w:tcPr>
            <w:tcW w:w="3071" w:type="dxa"/>
          </w:tcPr>
          <w:p w:rsidR="00C72A83" w:rsidRDefault="00923A45" w:rsidP="0082601F">
            <w:pPr>
              <w:pStyle w:val="Default"/>
              <w:rPr>
                <w:sz w:val="23"/>
                <w:szCs w:val="23"/>
              </w:rPr>
            </w:pPr>
            <w:r>
              <w:rPr>
                <w:sz w:val="23"/>
                <w:szCs w:val="23"/>
              </w:rPr>
              <w:t>1</w:t>
            </w:r>
            <w:r w:rsidR="0082601F">
              <w:rPr>
                <w:sz w:val="23"/>
                <w:szCs w:val="23"/>
              </w:rPr>
              <w:t>x 4</w:t>
            </w:r>
            <w:r w:rsidR="00A866A7">
              <w:rPr>
                <w:sz w:val="23"/>
                <w:szCs w:val="23"/>
              </w:rPr>
              <w:t>5.000</w:t>
            </w:r>
            <w:r w:rsidR="0082601F">
              <w:rPr>
                <w:sz w:val="23"/>
                <w:szCs w:val="23"/>
              </w:rPr>
              <w:t>,-</w:t>
            </w:r>
            <w:r w:rsidR="00A866A7">
              <w:rPr>
                <w:sz w:val="23"/>
                <w:szCs w:val="23"/>
              </w:rPr>
              <w:t xml:space="preserve"> = </w:t>
            </w:r>
            <w:r w:rsidR="0082601F">
              <w:rPr>
                <w:sz w:val="23"/>
                <w:szCs w:val="23"/>
              </w:rPr>
              <w:t>45</w:t>
            </w:r>
            <w:r w:rsidR="00A866A7">
              <w:rPr>
                <w:sz w:val="23"/>
                <w:szCs w:val="23"/>
              </w:rPr>
              <w:t>.000,-</w:t>
            </w:r>
          </w:p>
          <w:p w:rsidR="0082601F" w:rsidRDefault="0082601F" w:rsidP="0082601F">
            <w:pPr>
              <w:pStyle w:val="Default"/>
              <w:rPr>
                <w:sz w:val="23"/>
                <w:szCs w:val="23"/>
              </w:rPr>
            </w:pPr>
            <w:r>
              <w:rPr>
                <w:sz w:val="23"/>
                <w:szCs w:val="23"/>
              </w:rPr>
              <w:t>1x 25.000,- = 25.000,-</w:t>
            </w:r>
          </w:p>
        </w:tc>
      </w:tr>
      <w:tr w:rsidR="00C72A83" w:rsidTr="00C72A83">
        <w:trPr>
          <w:jc w:val="center"/>
        </w:trPr>
        <w:tc>
          <w:tcPr>
            <w:tcW w:w="3070" w:type="dxa"/>
          </w:tcPr>
          <w:p w:rsidR="00C72A83" w:rsidRDefault="00C72A83" w:rsidP="004E7C12">
            <w:pPr>
              <w:pStyle w:val="Default"/>
              <w:rPr>
                <w:sz w:val="23"/>
                <w:szCs w:val="23"/>
              </w:rPr>
            </w:pPr>
            <w:r>
              <w:t>Služby a náklady nevýrobní</w:t>
            </w:r>
            <w:r>
              <w:tab/>
            </w:r>
          </w:p>
        </w:tc>
        <w:tc>
          <w:tcPr>
            <w:tcW w:w="3071" w:type="dxa"/>
          </w:tcPr>
          <w:p w:rsidR="00C72A83" w:rsidRDefault="00A866A7" w:rsidP="004E7C12">
            <w:pPr>
              <w:pStyle w:val="Default"/>
              <w:rPr>
                <w:sz w:val="23"/>
                <w:szCs w:val="23"/>
              </w:rPr>
            </w:pPr>
            <w:r>
              <w:rPr>
                <w:sz w:val="23"/>
                <w:szCs w:val="23"/>
              </w:rPr>
              <w:t>0,-</w:t>
            </w:r>
          </w:p>
        </w:tc>
      </w:tr>
      <w:tr w:rsidR="00C72A83" w:rsidTr="00C72A83">
        <w:trPr>
          <w:jc w:val="center"/>
        </w:trPr>
        <w:tc>
          <w:tcPr>
            <w:tcW w:w="3070" w:type="dxa"/>
          </w:tcPr>
          <w:p w:rsidR="00C72A83" w:rsidRDefault="00C72A83" w:rsidP="004E7C12">
            <w:pPr>
              <w:pStyle w:val="Default"/>
              <w:rPr>
                <w:sz w:val="23"/>
                <w:szCs w:val="23"/>
              </w:rPr>
            </w:pPr>
            <w:r>
              <w:t>Osobní náklady</w:t>
            </w:r>
            <w:r>
              <w:tab/>
            </w:r>
          </w:p>
        </w:tc>
        <w:tc>
          <w:tcPr>
            <w:tcW w:w="3071" w:type="dxa"/>
          </w:tcPr>
          <w:p w:rsidR="00C72A83" w:rsidRDefault="00433E17" w:rsidP="004E7C12">
            <w:pPr>
              <w:pStyle w:val="Default"/>
              <w:rPr>
                <w:sz w:val="23"/>
                <w:szCs w:val="23"/>
              </w:rPr>
            </w:pPr>
            <w:r>
              <w:rPr>
                <w:sz w:val="23"/>
                <w:szCs w:val="23"/>
              </w:rPr>
              <w:t>3</w:t>
            </w:r>
            <w:r w:rsidR="0082601F">
              <w:rPr>
                <w:sz w:val="23"/>
                <w:szCs w:val="23"/>
              </w:rPr>
              <w:t>0</w:t>
            </w:r>
            <w:r w:rsidR="00DC4C1F">
              <w:rPr>
                <w:sz w:val="23"/>
                <w:szCs w:val="23"/>
              </w:rPr>
              <w:t>.00</w:t>
            </w:r>
            <w:r w:rsidR="00A866A7">
              <w:rPr>
                <w:sz w:val="23"/>
                <w:szCs w:val="23"/>
              </w:rPr>
              <w:t>0,-</w:t>
            </w:r>
          </w:p>
        </w:tc>
      </w:tr>
    </w:tbl>
    <w:p w:rsidR="004E7C12" w:rsidRDefault="004E7C12" w:rsidP="004E7C12">
      <w:pPr>
        <w:pStyle w:val="Default"/>
        <w:rPr>
          <w:sz w:val="23"/>
          <w:szCs w:val="23"/>
        </w:rPr>
      </w:pPr>
    </w:p>
    <w:p w:rsidR="00DD64DD" w:rsidRDefault="00DD64DD" w:rsidP="004E7C12">
      <w:pPr>
        <w:pStyle w:val="Default"/>
        <w:rPr>
          <w:sz w:val="23"/>
          <w:szCs w:val="23"/>
        </w:rPr>
      </w:pPr>
    </w:p>
    <w:p w:rsidR="00DD64DD" w:rsidRDefault="00DD64DD" w:rsidP="004E7C12">
      <w:pPr>
        <w:pStyle w:val="Default"/>
        <w:rPr>
          <w:sz w:val="23"/>
          <w:szCs w:val="23"/>
        </w:rPr>
      </w:pPr>
    </w:p>
    <w:p w:rsidR="00DD64DD" w:rsidRDefault="00DD64DD" w:rsidP="004E7C12">
      <w:pPr>
        <w:pStyle w:val="Default"/>
        <w:rPr>
          <w:sz w:val="23"/>
          <w:szCs w:val="23"/>
        </w:rPr>
      </w:pPr>
    </w:p>
    <w:p w:rsidR="00DD64DD" w:rsidRDefault="00DD64DD" w:rsidP="004E7C12">
      <w:pPr>
        <w:pStyle w:val="Default"/>
        <w:rPr>
          <w:sz w:val="23"/>
          <w:szCs w:val="23"/>
        </w:rPr>
      </w:pPr>
    </w:p>
    <w:p w:rsidR="00DD64DD" w:rsidRDefault="00DD64DD" w:rsidP="004E7C12">
      <w:pPr>
        <w:pStyle w:val="Default"/>
        <w:rPr>
          <w:sz w:val="23"/>
          <w:szCs w:val="23"/>
        </w:rPr>
      </w:pPr>
    </w:p>
    <w:p w:rsidR="004E7C12" w:rsidRDefault="00C72A83" w:rsidP="0082601F">
      <w:pPr>
        <w:pStyle w:val="Default"/>
        <w:jc w:val="both"/>
        <w:rPr>
          <w:sz w:val="23"/>
          <w:szCs w:val="23"/>
        </w:rPr>
      </w:pPr>
      <w:r>
        <w:rPr>
          <w:sz w:val="23"/>
          <w:szCs w:val="23"/>
        </w:rPr>
        <w:t>Specifikace položek (výpis plánovaných výdajů pro potřeby výběrového řízení pro referenta nákupu VŠTE):</w:t>
      </w:r>
    </w:p>
    <w:p w:rsidR="0082601F" w:rsidRDefault="00600F96" w:rsidP="0082601F">
      <w:pPr>
        <w:pStyle w:val="Default"/>
        <w:jc w:val="both"/>
        <w:rPr>
          <w:sz w:val="23"/>
          <w:szCs w:val="23"/>
        </w:rPr>
      </w:pPr>
      <w:r>
        <w:rPr>
          <w:sz w:val="23"/>
          <w:szCs w:val="23"/>
        </w:rPr>
        <w:t xml:space="preserve">Přístroje </w:t>
      </w:r>
      <w:r w:rsidR="0082601F">
        <w:rPr>
          <w:sz w:val="23"/>
          <w:szCs w:val="23"/>
        </w:rPr>
        <w:t xml:space="preserve">(2 ks) </w:t>
      </w:r>
      <w:r w:rsidR="0082601F">
        <w:t>pro sběr dopravních dat a zaznamenávání křižovatkových pohybů vozidel</w:t>
      </w:r>
      <w:r w:rsidR="0082601F">
        <w:rPr>
          <w:sz w:val="23"/>
          <w:szCs w:val="23"/>
        </w:rPr>
        <w:t xml:space="preserve"> TDC ULTRA</w:t>
      </w:r>
      <w:r>
        <w:rPr>
          <w:sz w:val="23"/>
          <w:szCs w:val="23"/>
        </w:rPr>
        <w:t xml:space="preserve"> s příslušenstvím – obsahuje </w:t>
      </w:r>
      <w:r w:rsidR="0082601F">
        <w:rPr>
          <w:sz w:val="23"/>
          <w:szCs w:val="23"/>
        </w:rPr>
        <w:t>vlastní zařízení</w:t>
      </w:r>
      <w:r>
        <w:rPr>
          <w:sz w:val="23"/>
          <w:szCs w:val="23"/>
        </w:rPr>
        <w:t xml:space="preserve">, </w:t>
      </w:r>
      <w:r w:rsidR="0082601F">
        <w:rPr>
          <w:sz w:val="23"/>
          <w:szCs w:val="23"/>
        </w:rPr>
        <w:t xml:space="preserve">přenosný </w:t>
      </w:r>
      <w:r w:rsidR="00433E17">
        <w:rPr>
          <w:sz w:val="23"/>
          <w:szCs w:val="23"/>
        </w:rPr>
        <w:t>box</w:t>
      </w:r>
      <w:r w:rsidR="0082601F">
        <w:rPr>
          <w:sz w:val="23"/>
          <w:szCs w:val="23"/>
        </w:rPr>
        <w:t xml:space="preserve"> na zařízení </w:t>
      </w:r>
      <w:r>
        <w:rPr>
          <w:sz w:val="23"/>
          <w:szCs w:val="23"/>
        </w:rPr>
        <w:t>a software</w:t>
      </w:r>
      <w:r w:rsidR="0082601F">
        <w:rPr>
          <w:sz w:val="23"/>
          <w:szCs w:val="23"/>
        </w:rPr>
        <w:t xml:space="preserve"> PETRAPro Software</w:t>
      </w:r>
      <w:r>
        <w:rPr>
          <w:sz w:val="23"/>
          <w:szCs w:val="23"/>
        </w:rPr>
        <w:t xml:space="preserve"> pro vyhodnocení </w:t>
      </w:r>
      <w:r w:rsidR="0082601F">
        <w:rPr>
          <w:sz w:val="23"/>
          <w:szCs w:val="23"/>
        </w:rPr>
        <w:t>naměřených dat.</w:t>
      </w:r>
    </w:p>
    <w:p w:rsidR="0082601F" w:rsidRDefault="0082601F" w:rsidP="0082601F">
      <w:pPr>
        <w:pStyle w:val="Default"/>
        <w:jc w:val="both"/>
        <w:rPr>
          <w:sz w:val="23"/>
          <w:szCs w:val="23"/>
        </w:rPr>
      </w:pPr>
    </w:p>
    <w:p w:rsidR="0082601F" w:rsidRDefault="0082601F" w:rsidP="0082601F">
      <w:pPr>
        <w:pStyle w:val="Default"/>
        <w:jc w:val="both"/>
        <w:rPr>
          <w:sz w:val="23"/>
          <w:szCs w:val="23"/>
        </w:rPr>
      </w:pPr>
      <w:r>
        <w:rPr>
          <w:sz w:val="23"/>
          <w:szCs w:val="23"/>
        </w:rPr>
        <w:t>Informace o cenách přímo od výrobce (TMC Equipment):</w:t>
      </w:r>
    </w:p>
    <w:p w:rsidR="0082601F" w:rsidRPr="0082601F" w:rsidRDefault="0082601F" w:rsidP="0082601F">
      <w:pPr>
        <w:pStyle w:val="Default"/>
        <w:ind w:firstLine="708"/>
        <w:jc w:val="both"/>
        <w:rPr>
          <w:i/>
          <w:sz w:val="23"/>
          <w:szCs w:val="23"/>
        </w:rPr>
      </w:pPr>
      <w:r w:rsidRPr="0082601F">
        <w:rPr>
          <w:i/>
          <w:sz w:val="23"/>
          <w:szCs w:val="23"/>
        </w:rPr>
        <w:t>https://www.jarmatech.com/accessories.html</w:t>
      </w:r>
    </w:p>
    <w:p w:rsidR="0082601F" w:rsidRDefault="0082601F" w:rsidP="0082601F">
      <w:pPr>
        <w:pStyle w:val="Default"/>
        <w:jc w:val="both"/>
        <w:rPr>
          <w:sz w:val="23"/>
          <w:szCs w:val="23"/>
        </w:rPr>
      </w:pPr>
    </w:p>
    <w:p w:rsidR="0082601F" w:rsidRDefault="00600F96" w:rsidP="0082601F">
      <w:pPr>
        <w:pStyle w:val="Default"/>
        <w:jc w:val="both"/>
        <w:rPr>
          <w:sz w:val="23"/>
          <w:szCs w:val="23"/>
        </w:rPr>
      </w:pPr>
      <w:r>
        <w:rPr>
          <w:sz w:val="23"/>
          <w:szCs w:val="23"/>
        </w:rPr>
        <w:t xml:space="preserve">Veškeré technické parametry </w:t>
      </w:r>
      <w:r w:rsidR="0082601F">
        <w:rPr>
          <w:sz w:val="23"/>
          <w:szCs w:val="23"/>
        </w:rPr>
        <w:t xml:space="preserve">zařízení </w:t>
      </w:r>
      <w:r>
        <w:rPr>
          <w:sz w:val="23"/>
          <w:szCs w:val="23"/>
        </w:rPr>
        <w:t xml:space="preserve">možné dohledat na: </w:t>
      </w:r>
    </w:p>
    <w:p w:rsidR="004E7C12" w:rsidRPr="0082601F" w:rsidRDefault="007A0D24" w:rsidP="0082601F">
      <w:pPr>
        <w:pStyle w:val="Default"/>
        <w:ind w:firstLine="708"/>
        <w:jc w:val="both"/>
        <w:rPr>
          <w:i/>
          <w:sz w:val="23"/>
          <w:szCs w:val="23"/>
        </w:rPr>
      </w:pPr>
      <w:r w:rsidRPr="0082601F">
        <w:rPr>
          <w:i/>
          <w:sz w:val="23"/>
          <w:szCs w:val="23"/>
        </w:rPr>
        <w:t>http://www.</w:t>
      </w:r>
      <w:r w:rsidR="0082601F" w:rsidRPr="0082601F">
        <w:rPr>
          <w:i/>
          <w:sz w:val="23"/>
          <w:szCs w:val="23"/>
        </w:rPr>
        <w:t>jarmatech.com</w:t>
      </w:r>
      <w:r w:rsidRPr="0082601F">
        <w:rPr>
          <w:i/>
          <w:sz w:val="23"/>
          <w:szCs w:val="23"/>
        </w:rPr>
        <w:t>/</w:t>
      </w:r>
      <w:r w:rsidR="0082601F" w:rsidRPr="0082601F">
        <w:rPr>
          <w:i/>
          <w:sz w:val="23"/>
          <w:szCs w:val="23"/>
        </w:rPr>
        <w:t>assets</w:t>
      </w:r>
      <w:r w:rsidRPr="0082601F">
        <w:rPr>
          <w:i/>
          <w:sz w:val="23"/>
          <w:szCs w:val="23"/>
        </w:rPr>
        <w:t>/</w:t>
      </w:r>
      <w:r w:rsidR="0082601F" w:rsidRPr="0082601F">
        <w:rPr>
          <w:i/>
          <w:sz w:val="23"/>
          <w:szCs w:val="23"/>
        </w:rPr>
        <w:t>tdc_ultra_brochure.</w:t>
      </w:r>
      <w:r w:rsidRPr="0082601F">
        <w:rPr>
          <w:i/>
          <w:sz w:val="23"/>
          <w:szCs w:val="23"/>
        </w:rPr>
        <w:t>pdf</w:t>
      </w:r>
    </w:p>
    <w:p w:rsidR="007A0D24" w:rsidRDefault="007A0D24" w:rsidP="0082601F">
      <w:pPr>
        <w:pStyle w:val="Default"/>
        <w:jc w:val="both"/>
        <w:rPr>
          <w:sz w:val="23"/>
          <w:szCs w:val="23"/>
        </w:rPr>
      </w:pPr>
    </w:p>
    <w:p w:rsidR="007A0D24" w:rsidRDefault="007A0D24" w:rsidP="0082601F">
      <w:pPr>
        <w:pStyle w:val="Default"/>
        <w:jc w:val="both"/>
        <w:rPr>
          <w:sz w:val="23"/>
          <w:szCs w:val="23"/>
        </w:rPr>
      </w:pPr>
      <w:r>
        <w:rPr>
          <w:sz w:val="23"/>
          <w:szCs w:val="23"/>
        </w:rPr>
        <w:t>Přístroje budou zakoupeny na základě výběrového řízení, odvíjející</w:t>
      </w:r>
      <w:r w:rsidR="0082601F">
        <w:rPr>
          <w:sz w:val="23"/>
          <w:szCs w:val="23"/>
        </w:rPr>
        <w:t>ho</w:t>
      </w:r>
      <w:r>
        <w:rPr>
          <w:sz w:val="23"/>
          <w:szCs w:val="23"/>
        </w:rPr>
        <w:t xml:space="preserve"> se od nejnižší finanční nabídky. </w:t>
      </w:r>
      <w:r w:rsidR="0082601F">
        <w:rPr>
          <w:sz w:val="23"/>
          <w:szCs w:val="23"/>
        </w:rPr>
        <w:t>Výrobce zařízení JAMAR Technologies, Inc. bohužel nemá obchodní zastoupení v České republice</w:t>
      </w:r>
      <w:r w:rsidR="002213C3">
        <w:rPr>
          <w:sz w:val="23"/>
          <w:szCs w:val="23"/>
        </w:rPr>
        <w:t>, a proto jsou předpokládané ceny zařízení převzaty z e-shopu (viz odkaz výše).</w:t>
      </w:r>
    </w:p>
    <w:p w:rsidR="004E7C12" w:rsidRDefault="004E7C12" w:rsidP="0082601F">
      <w:pPr>
        <w:jc w:val="both"/>
        <w:rPr>
          <w:sz w:val="23"/>
          <w:szCs w:val="23"/>
        </w:rPr>
      </w:pPr>
    </w:p>
    <w:p w:rsidR="004E7C12" w:rsidRDefault="004E7C12" w:rsidP="0082601F">
      <w:pPr>
        <w:pStyle w:val="Default"/>
        <w:spacing w:after="120"/>
        <w:jc w:val="both"/>
        <w:rPr>
          <w:sz w:val="23"/>
          <w:szCs w:val="23"/>
        </w:rPr>
      </w:pPr>
    </w:p>
    <w:p w:rsidR="005A1908" w:rsidRDefault="005A1908" w:rsidP="004E7C12">
      <w:pPr>
        <w:rPr>
          <w:sz w:val="23"/>
          <w:szCs w:val="23"/>
        </w:rPr>
      </w:pPr>
    </w:p>
    <w:p w:rsidR="004E7C12" w:rsidRDefault="004E7C12" w:rsidP="004E7C12">
      <w:pPr>
        <w:rPr>
          <w:sz w:val="23"/>
          <w:szCs w:val="23"/>
        </w:rPr>
      </w:pPr>
    </w:p>
    <w:p w:rsidR="004E7C12" w:rsidRDefault="004E7C12" w:rsidP="004E7C12">
      <w:pPr>
        <w:jc w:val="right"/>
        <w:rPr>
          <w:sz w:val="23"/>
          <w:szCs w:val="23"/>
        </w:rPr>
      </w:pPr>
      <w:r>
        <w:rPr>
          <w:sz w:val="23"/>
          <w:szCs w:val="23"/>
        </w:rPr>
        <w:t>…………………………………..</w:t>
      </w:r>
    </w:p>
    <w:p w:rsidR="004E7C12" w:rsidRDefault="004E7C12" w:rsidP="004E7C12">
      <w:pPr>
        <w:tabs>
          <w:tab w:val="left" w:pos="6379"/>
        </w:tabs>
      </w:pPr>
      <w:r>
        <w:rPr>
          <w:sz w:val="23"/>
          <w:szCs w:val="23"/>
        </w:rPr>
        <w:tab/>
        <w:t>Podpis hlavního řešitele</w:t>
      </w:r>
    </w:p>
    <w:sectPr w:rsidR="004E7C12" w:rsidSect="005A7082">
      <w:footerReference w:type="default" r:id="rId10"/>
      <w:pgSz w:w="11906" w:h="16838"/>
      <w:pgMar w:top="426" w:right="1417" w:bottom="1417" w:left="1417" w:header="708" w:footer="53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967" w:rsidRDefault="00407967" w:rsidP="009B2F4E">
      <w:r>
        <w:separator/>
      </w:r>
    </w:p>
  </w:endnote>
  <w:endnote w:type="continuationSeparator" w:id="0">
    <w:p w:rsidR="00407967" w:rsidRDefault="00407967" w:rsidP="009B2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2F4E" w:rsidRDefault="00B85272" w:rsidP="009B2F4E">
    <w:pPr>
      <w:pStyle w:val="Zpat"/>
      <w:pBdr>
        <w:top w:val="thinThickSmallGap" w:sz="24" w:space="1" w:color="622423" w:themeColor="accent2" w:themeShade="7F"/>
      </w:pBdr>
      <w:ind w:firstLine="1416"/>
      <w:jc w:val="center"/>
    </w:pPr>
    <w:r>
      <w:rPr>
        <w:noProof/>
        <w:lang w:val="en-US"/>
      </w:rPr>
      <mc:AlternateContent>
        <mc:Choice Requires="wps">
          <w:drawing>
            <wp:anchor distT="0" distB="0" distL="114300" distR="114300" simplePos="0" relativeHeight="251657728" behindDoc="1" locked="0" layoutInCell="1" allowOverlap="1">
              <wp:simplePos x="0" y="0"/>
              <wp:positionH relativeFrom="column">
                <wp:posOffset>-1066800</wp:posOffset>
              </wp:positionH>
              <wp:positionV relativeFrom="paragraph">
                <wp:posOffset>26035</wp:posOffset>
              </wp:positionV>
              <wp:extent cx="7870825" cy="1575435"/>
              <wp:effectExtent l="0" t="0" r="0" b="571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70825" cy="1575435"/>
                      </a:xfrm>
                      <a:prstGeom prst="rect">
                        <a:avLst/>
                      </a:prstGeom>
                      <a:solidFill>
                        <a:schemeClr val="bg1"/>
                      </a:solidFill>
                      <a:ln>
                        <a:noFill/>
                      </a:ln>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margin-left:-84pt;margin-top:2.05pt;width:619.75pt;height:124.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" fillcolor="white [3212]" stroked="f"/>
          </w:pict>
        </mc:Fallback>
      </mc:AlternateContent>
    </w:r>
    <w:r w:rsidR="009B2F4E" w:rsidRPr="00322392">
      <w:rPr>
        <w:sz w:val="20"/>
        <w:szCs w:val="20"/>
      </w:rPr>
      <w:t>Okružní 10, 370 01 České Budějovice | Tel.: +420 387 842 1</w:t>
    </w:r>
    <w:r w:rsidR="009B2F4E">
      <w:rPr>
        <w:sz w:val="20"/>
        <w:szCs w:val="20"/>
      </w:rPr>
      <w:t>37</w:t>
    </w:r>
    <w:r w:rsidR="009B2F4E" w:rsidRPr="00322392">
      <w:rPr>
        <w:sz w:val="20"/>
        <w:szCs w:val="20"/>
      </w:rPr>
      <w:t xml:space="preserve"> </w:t>
    </w:r>
    <w:r w:rsidR="009B2F4E">
      <w:rPr>
        <w:rFonts w:asciiTheme="majorHAnsi" w:eastAsiaTheme="majorEastAsia" w:hAnsiTheme="majorHAnsi" w:cstheme="majorBidi"/>
      </w:rPr>
      <w:ptab w:relativeTo="margin" w:alignment="right" w:leader="none"/>
    </w:r>
    <w:r w:rsidR="009B2F4E">
      <w:rPr>
        <w:rFonts w:asciiTheme="majorHAnsi" w:eastAsiaTheme="majorEastAsia" w:hAnsiTheme="majorHAnsi" w:cstheme="majorBidi"/>
      </w:rPr>
      <w:t xml:space="preserve">Stránka </w:t>
    </w:r>
    <w:r w:rsidR="009B2F4E">
      <w:rPr>
        <w:rFonts w:asciiTheme="minorHAnsi" w:eastAsiaTheme="minorEastAsia" w:hAnsiTheme="minorHAnsi" w:cstheme="minorBidi"/>
      </w:rPr>
      <w:fldChar w:fldCharType="begin"/>
    </w:r>
    <w:r w:rsidR="009B2F4E">
      <w:instrText>PAGE   \* MERGEFORMAT</w:instrText>
    </w:r>
    <w:r w:rsidR="009B2F4E">
      <w:rPr>
        <w:rFonts w:asciiTheme="minorHAnsi" w:eastAsiaTheme="minorEastAsia" w:hAnsiTheme="minorHAnsi" w:cstheme="minorBidi"/>
      </w:rPr>
      <w:fldChar w:fldCharType="separate"/>
    </w:r>
    <w:r w:rsidR="00EC3EF5" w:rsidRPr="00EC3EF5">
      <w:rPr>
        <w:rFonts w:asciiTheme="majorHAnsi" w:eastAsiaTheme="majorEastAsia" w:hAnsiTheme="majorHAnsi" w:cstheme="majorBidi"/>
        <w:noProof/>
      </w:rPr>
      <w:t>1</w:t>
    </w:r>
    <w:r w:rsidR="009B2F4E">
      <w:rPr>
        <w:rFonts w:asciiTheme="majorHAnsi" w:eastAsiaTheme="majorEastAsia" w:hAnsiTheme="majorHAnsi" w:cstheme="majorBidi"/>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967" w:rsidRDefault="00407967" w:rsidP="009B2F4E">
      <w:r>
        <w:separator/>
      </w:r>
    </w:p>
  </w:footnote>
  <w:footnote w:type="continuationSeparator" w:id="0">
    <w:p w:rsidR="00407967" w:rsidRDefault="00407967" w:rsidP="009B2F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38711B"/>
    <w:multiLevelType w:val="hybridMultilevel"/>
    <w:tmpl w:val="B66E21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3DB9213B"/>
    <w:multiLevelType w:val="hybridMultilevel"/>
    <w:tmpl w:val="1908B56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C12"/>
    <w:rsid w:val="00035CE3"/>
    <w:rsid w:val="00037262"/>
    <w:rsid w:val="00045294"/>
    <w:rsid w:val="000665C6"/>
    <w:rsid w:val="0013693E"/>
    <w:rsid w:val="00142F38"/>
    <w:rsid w:val="002213C3"/>
    <w:rsid w:val="00247558"/>
    <w:rsid w:val="00281037"/>
    <w:rsid w:val="00291FBA"/>
    <w:rsid w:val="00296399"/>
    <w:rsid w:val="002E4280"/>
    <w:rsid w:val="003947D3"/>
    <w:rsid w:val="00407967"/>
    <w:rsid w:val="00433E17"/>
    <w:rsid w:val="00450ED8"/>
    <w:rsid w:val="004959DE"/>
    <w:rsid w:val="004C29A6"/>
    <w:rsid w:val="004E7C12"/>
    <w:rsid w:val="004F1807"/>
    <w:rsid w:val="0056551F"/>
    <w:rsid w:val="005956A6"/>
    <w:rsid w:val="005A1908"/>
    <w:rsid w:val="005A7082"/>
    <w:rsid w:val="00600F96"/>
    <w:rsid w:val="00603576"/>
    <w:rsid w:val="00603E9F"/>
    <w:rsid w:val="00627611"/>
    <w:rsid w:val="00671FFE"/>
    <w:rsid w:val="007A0D24"/>
    <w:rsid w:val="0082601F"/>
    <w:rsid w:val="0085418F"/>
    <w:rsid w:val="008D4F77"/>
    <w:rsid w:val="00923A45"/>
    <w:rsid w:val="00964AF0"/>
    <w:rsid w:val="009B2F4E"/>
    <w:rsid w:val="009C7268"/>
    <w:rsid w:val="00A866A7"/>
    <w:rsid w:val="00AF4FEA"/>
    <w:rsid w:val="00B1034B"/>
    <w:rsid w:val="00B85272"/>
    <w:rsid w:val="00C144F7"/>
    <w:rsid w:val="00C41DB4"/>
    <w:rsid w:val="00C46B6E"/>
    <w:rsid w:val="00C55ECC"/>
    <w:rsid w:val="00C56F51"/>
    <w:rsid w:val="00C72A83"/>
    <w:rsid w:val="00C96828"/>
    <w:rsid w:val="00D15337"/>
    <w:rsid w:val="00DC4C1F"/>
    <w:rsid w:val="00DD64DD"/>
    <w:rsid w:val="00EC3EF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C1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7C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C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72A83"/>
    <w:pPr>
      <w:spacing w:after="200" w:line="276" w:lineRule="auto"/>
      <w:ind w:left="720"/>
      <w:contextualSpacing/>
    </w:pPr>
    <w:rPr>
      <w:rFonts w:asciiTheme="minorHAnsi" w:eastAsiaTheme="minorEastAsia" w:hAnsiTheme="minorHAnsi" w:cstheme="minorBidi"/>
      <w:sz w:val="22"/>
      <w:szCs w:val="22"/>
      <w:lang w:eastAsia="cs-CZ"/>
    </w:rPr>
  </w:style>
  <w:style w:type="paragraph" w:styleId="Zhlav">
    <w:name w:val="header"/>
    <w:basedOn w:val="Normln"/>
    <w:link w:val="ZhlavChar"/>
    <w:uiPriority w:val="99"/>
    <w:unhideWhenUsed/>
    <w:rsid w:val="009B2F4E"/>
    <w:pPr>
      <w:tabs>
        <w:tab w:val="center" w:pos="4536"/>
        <w:tab w:val="right" w:pos="9072"/>
      </w:tabs>
    </w:pPr>
  </w:style>
  <w:style w:type="character" w:customStyle="1" w:styleId="ZhlavChar">
    <w:name w:val="Záhlaví Char"/>
    <w:basedOn w:val="Standardnpsmoodstavce"/>
    <w:link w:val="Zhlav"/>
    <w:uiPriority w:val="99"/>
    <w:rsid w:val="009B2F4E"/>
    <w:rPr>
      <w:rFonts w:ascii="Times New Roman" w:eastAsia="Times New Roman" w:hAnsi="Times New Roman" w:cs="Times New Roman"/>
      <w:sz w:val="24"/>
      <w:szCs w:val="24"/>
    </w:rPr>
  </w:style>
  <w:style w:type="paragraph" w:styleId="Zpat">
    <w:name w:val="footer"/>
    <w:basedOn w:val="Normln"/>
    <w:link w:val="ZpatChar"/>
    <w:uiPriority w:val="99"/>
    <w:unhideWhenUsed/>
    <w:rsid w:val="009B2F4E"/>
    <w:pPr>
      <w:tabs>
        <w:tab w:val="center" w:pos="4536"/>
        <w:tab w:val="right" w:pos="9072"/>
      </w:tabs>
    </w:pPr>
  </w:style>
  <w:style w:type="character" w:customStyle="1" w:styleId="ZpatChar">
    <w:name w:val="Zápatí Char"/>
    <w:basedOn w:val="Standardnpsmoodstavce"/>
    <w:link w:val="Zpat"/>
    <w:uiPriority w:val="99"/>
    <w:rsid w:val="009B2F4E"/>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B2F4E"/>
    <w:rPr>
      <w:rFonts w:ascii="Tahoma" w:hAnsi="Tahoma" w:cs="Tahoma"/>
      <w:sz w:val="16"/>
      <w:szCs w:val="16"/>
    </w:rPr>
  </w:style>
  <w:style w:type="character" w:customStyle="1" w:styleId="TextbublinyChar">
    <w:name w:val="Text bubliny Char"/>
    <w:basedOn w:val="Standardnpsmoodstavce"/>
    <w:link w:val="Textbubliny"/>
    <w:uiPriority w:val="99"/>
    <w:semiHidden/>
    <w:rsid w:val="009B2F4E"/>
    <w:rPr>
      <w:rFonts w:ascii="Tahoma" w:eastAsia="Times New Roman" w:hAnsi="Tahoma" w:cs="Tahoma"/>
      <w:sz w:val="16"/>
      <w:szCs w:val="16"/>
    </w:rPr>
  </w:style>
  <w:style w:type="character" w:styleId="Hypertextovodkaz">
    <w:name w:val="Hyperlink"/>
    <w:basedOn w:val="Standardnpsmoodstavce"/>
    <w:uiPriority w:val="99"/>
    <w:unhideWhenUsed/>
    <w:rsid w:val="007A0D24"/>
    <w:rPr>
      <w:color w:val="0000FF" w:themeColor="hyperlink"/>
      <w:u w:val="single"/>
    </w:rPr>
  </w:style>
  <w:style w:type="character" w:styleId="Sledovanodkaz">
    <w:name w:val="FollowedHyperlink"/>
    <w:basedOn w:val="Standardnpsmoodstavce"/>
    <w:uiPriority w:val="99"/>
    <w:semiHidden/>
    <w:unhideWhenUsed/>
    <w:rsid w:val="0082601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E7C12"/>
    <w:pPr>
      <w:spacing w:after="0" w:line="240" w:lineRule="auto"/>
    </w:pPr>
    <w:rPr>
      <w:rFonts w:ascii="Times New Roman" w:eastAsia="Times New Roman" w:hAnsi="Times New Roman" w:cs="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E7C12"/>
    <w:pPr>
      <w:autoSpaceDE w:val="0"/>
      <w:autoSpaceDN w:val="0"/>
      <w:adjustRightInd w:val="0"/>
      <w:spacing w:after="0" w:line="240" w:lineRule="auto"/>
    </w:pPr>
    <w:rPr>
      <w:rFonts w:ascii="Times New Roman" w:eastAsia="Times New Roman" w:hAnsi="Times New Roman" w:cs="Times New Roman"/>
      <w:color w:val="000000"/>
      <w:sz w:val="24"/>
      <w:szCs w:val="24"/>
      <w:lang w:eastAsia="cs-CZ"/>
    </w:rPr>
  </w:style>
  <w:style w:type="table" w:styleId="Mkatabulky">
    <w:name w:val="Table Grid"/>
    <w:basedOn w:val="Normlntabulka"/>
    <w:uiPriority w:val="59"/>
    <w:rsid w:val="00C72A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C72A83"/>
    <w:pPr>
      <w:spacing w:after="200" w:line="276" w:lineRule="auto"/>
      <w:ind w:left="720"/>
      <w:contextualSpacing/>
    </w:pPr>
    <w:rPr>
      <w:rFonts w:asciiTheme="minorHAnsi" w:eastAsiaTheme="minorEastAsia" w:hAnsiTheme="minorHAnsi" w:cstheme="minorBidi"/>
      <w:sz w:val="22"/>
      <w:szCs w:val="22"/>
      <w:lang w:eastAsia="cs-CZ"/>
    </w:rPr>
  </w:style>
  <w:style w:type="paragraph" w:styleId="Zhlav">
    <w:name w:val="header"/>
    <w:basedOn w:val="Normln"/>
    <w:link w:val="ZhlavChar"/>
    <w:uiPriority w:val="99"/>
    <w:unhideWhenUsed/>
    <w:rsid w:val="009B2F4E"/>
    <w:pPr>
      <w:tabs>
        <w:tab w:val="center" w:pos="4536"/>
        <w:tab w:val="right" w:pos="9072"/>
      </w:tabs>
    </w:pPr>
  </w:style>
  <w:style w:type="character" w:customStyle="1" w:styleId="ZhlavChar">
    <w:name w:val="Záhlaví Char"/>
    <w:basedOn w:val="Standardnpsmoodstavce"/>
    <w:link w:val="Zhlav"/>
    <w:uiPriority w:val="99"/>
    <w:rsid w:val="009B2F4E"/>
    <w:rPr>
      <w:rFonts w:ascii="Times New Roman" w:eastAsia="Times New Roman" w:hAnsi="Times New Roman" w:cs="Times New Roman"/>
      <w:sz w:val="24"/>
      <w:szCs w:val="24"/>
    </w:rPr>
  </w:style>
  <w:style w:type="paragraph" w:styleId="Zpat">
    <w:name w:val="footer"/>
    <w:basedOn w:val="Normln"/>
    <w:link w:val="ZpatChar"/>
    <w:uiPriority w:val="99"/>
    <w:unhideWhenUsed/>
    <w:rsid w:val="009B2F4E"/>
    <w:pPr>
      <w:tabs>
        <w:tab w:val="center" w:pos="4536"/>
        <w:tab w:val="right" w:pos="9072"/>
      </w:tabs>
    </w:pPr>
  </w:style>
  <w:style w:type="character" w:customStyle="1" w:styleId="ZpatChar">
    <w:name w:val="Zápatí Char"/>
    <w:basedOn w:val="Standardnpsmoodstavce"/>
    <w:link w:val="Zpat"/>
    <w:uiPriority w:val="99"/>
    <w:rsid w:val="009B2F4E"/>
    <w:rPr>
      <w:rFonts w:ascii="Times New Roman" w:eastAsia="Times New Roman" w:hAnsi="Times New Roman" w:cs="Times New Roman"/>
      <w:sz w:val="24"/>
      <w:szCs w:val="24"/>
    </w:rPr>
  </w:style>
  <w:style w:type="paragraph" w:styleId="Textbubliny">
    <w:name w:val="Balloon Text"/>
    <w:basedOn w:val="Normln"/>
    <w:link w:val="TextbublinyChar"/>
    <w:uiPriority w:val="99"/>
    <w:semiHidden/>
    <w:unhideWhenUsed/>
    <w:rsid w:val="009B2F4E"/>
    <w:rPr>
      <w:rFonts w:ascii="Tahoma" w:hAnsi="Tahoma" w:cs="Tahoma"/>
      <w:sz w:val="16"/>
      <w:szCs w:val="16"/>
    </w:rPr>
  </w:style>
  <w:style w:type="character" w:customStyle="1" w:styleId="TextbublinyChar">
    <w:name w:val="Text bubliny Char"/>
    <w:basedOn w:val="Standardnpsmoodstavce"/>
    <w:link w:val="Textbubliny"/>
    <w:uiPriority w:val="99"/>
    <w:semiHidden/>
    <w:rsid w:val="009B2F4E"/>
    <w:rPr>
      <w:rFonts w:ascii="Tahoma" w:eastAsia="Times New Roman" w:hAnsi="Tahoma" w:cs="Tahoma"/>
      <w:sz w:val="16"/>
      <w:szCs w:val="16"/>
    </w:rPr>
  </w:style>
  <w:style w:type="character" w:styleId="Hypertextovodkaz">
    <w:name w:val="Hyperlink"/>
    <w:basedOn w:val="Standardnpsmoodstavce"/>
    <w:uiPriority w:val="99"/>
    <w:unhideWhenUsed/>
    <w:rsid w:val="007A0D24"/>
    <w:rPr>
      <w:color w:val="0000FF" w:themeColor="hyperlink"/>
      <w:u w:val="single"/>
    </w:rPr>
  </w:style>
  <w:style w:type="character" w:styleId="Sledovanodkaz">
    <w:name w:val="FollowedHyperlink"/>
    <w:basedOn w:val="Standardnpsmoodstavce"/>
    <w:uiPriority w:val="99"/>
    <w:semiHidden/>
    <w:unhideWhenUsed/>
    <w:rsid w:val="0082601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975E02-6804-4A1F-A331-CA30FA1E3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902</Words>
  <Characters>5142</Characters>
  <Application>Microsoft Office Word</Application>
  <DocSecurity>0</DocSecurity>
  <Lines>42</Lines>
  <Paragraphs>12</Paragraphs>
  <ScaleCrop>false</ScaleCrop>
  <HeadingPairs>
    <vt:vector size="2" baseType="variant">
      <vt:variant>
        <vt:lpstr>Název</vt:lpstr>
      </vt:variant>
      <vt:variant>
        <vt:i4>1</vt:i4>
      </vt:variant>
    </vt:vector>
  </HeadingPairs>
  <TitlesOfParts>
    <vt:vector size="1" baseType="lpstr">
      <vt:lpstr/>
    </vt:vector>
  </TitlesOfParts>
  <Company>Vysoká škola technická a ekonomická</Company>
  <LinksUpToDate>false</LinksUpToDate>
  <CharactersWithSpaces>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Stanek</dc:creator>
  <cp:lastModifiedBy>Bartuška Ladislav</cp:lastModifiedBy>
  <cp:revision>2</cp:revision>
  <dcterms:created xsi:type="dcterms:W3CDTF">2018-02-12T09:45:00Z</dcterms:created>
  <dcterms:modified xsi:type="dcterms:W3CDTF">2018-02-12T09:45:00Z</dcterms:modified>
</cp:coreProperties>
</file>