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3C1325F" wp14:editId="45B62BF8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01633C">
        <w:rPr>
          <w:sz w:val="23"/>
          <w:szCs w:val="23"/>
        </w:rPr>
        <w:t>Měření</w:t>
      </w:r>
      <w:r w:rsidR="00482921">
        <w:rPr>
          <w:sz w:val="23"/>
          <w:szCs w:val="23"/>
        </w:rPr>
        <w:t xml:space="preserve"> efektivity</w:t>
      </w:r>
      <w:r w:rsidR="0001633C">
        <w:rPr>
          <w:sz w:val="23"/>
          <w:szCs w:val="23"/>
        </w:rPr>
        <w:t xml:space="preserve"> výukových metod pomocí sémantického diferenciálu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FE0E1A">
        <w:rPr>
          <w:sz w:val="23"/>
          <w:szCs w:val="23"/>
        </w:rPr>
        <w:t>KPV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E0E1A">
        <w:rPr>
          <w:sz w:val="23"/>
          <w:szCs w:val="23"/>
        </w:rPr>
        <w:t>Václav Dobiáš Mgr.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E0E1A">
        <w:rPr>
          <w:sz w:val="23"/>
          <w:szCs w:val="23"/>
        </w:rPr>
        <w:t>Asistent</w:t>
      </w:r>
      <w:r w:rsidR="00FE0E1A"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FE0E1A">
        <w:rPr>
          <w:sz w:val="23"/>
          <w:szCs w:val="23"/>
        </w:rPr>
        <w:t>dobias@mail.vstecb.cz</w:t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FE0E1A">
        <w:rPr>
          <w:sz w:val="23"/>
          <w:szCs w:val="23"/>
        </w:rPr>
        <w:t>602 430 456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B1034B">
        <w:rPr>
          <w:sz w:val="23"/>
          <w:szCs w:val="23"/>
        </w:rPr>
        <w:t>Anotace</w:t>
      </w:r>
      <w:r w:rsidR="00C72A83">
        <w:rPr>
          <w:sz w:val="23"/>
          <w:szCs w:val="23"/>
        </w:rPr>
        <w:t>:</w:t>
      </w:r>
    </w:p>
    <w:p w:rsidR="00DF65D3" w:rsidRDefault="00DF65D3" w:rsidP="004E7C12">
      <w:pPr>
        <w:pStyle w:val="Default"/>
        <w:rPr>
          <w:sz w:val="23"/>
          <w:szCs w:val="23"/>
        </w:rPr>
      </w:pPr>
      <w:r w:rsidRPr="00DF65D3">
        <w:rPr>
          <w:sz w:val="23"/>
          <w:szCs w:val="23"/>
        </w:rPr>
        <w:t>Cílem</w:t>
      </w:r>
      <w:r w:rsidR="00137719">
        <w:rPr>
          <w:sz w:val="23"/>
          <w:szCs w:val="23"/>
        </w:rPr>
        <w:t xml:space="preserve"> grantu</w:t>
      </w:r>
      <w:r w:rsidR="00137719" w:rsidRPr="00DF65D3">
        <w:rPr>
          <w:sz w:val="23"/>
          <w:szCs w:val="23"/>
        </w:rPr>
        <w:t xml:space="preserve"> </w:t>
      </w:r>
      <w:r w:rsidRPr="00DF65D3">
        <w:rPr>
          <w:sz w:val="23"/>
          <w:szCs w:val="23"/>
        </w:rPr>
        <w:t xml:space="preserve">je </w:t>
      </w:r>
      <w:r w:rsidR="00482921">
        <w:rPr>
          <w:sz w:val="23"/>
          <w:szCs w:val="23"/>
        </w:rPr>
        <w:t>zjištění</w:t>
      </w:r>
      <w:r w:rsidR="00482921" w:rsidRPr="00DF65D3">
        <w:rPr>
          <w:sz w:val="23"/>
          <w:szCs w:val="23"/>
        </w:rPr>
        <w:t xml:space="preserve"> </w:t>
      </w:r>
      <w:r w:rsidRPr="00DF65D3">
        <w:rPr>
          <w:sz w:val="23"/>
          <w:szCs w:val="23"/>
        </w:rPr>
        <w:t>efektivity výukových metod výuky předmětu Informatika na VŠTE</w:t>
      </w:r>
      <w:r w:rsidR="00482921" w:rsidRPr="00482921">
        <w:rPr>
          <w:sz w:val="23"/>
          <w:szCs w:val="23"/>
        </w:rPr>
        <w:t xml:space="preserve"> </w:t>
      </w:r>
      <w:r w:rsidR="00482921">
        <w:rPr>
          <w:sz w:val="23"/>
          <w:szCs w:val="23"/>
        </w:rPr>
        <w:t>za použití metody sémantického diferenciálu</w:t>
      </w:r>
      <w:r w:rsidRPr="00DF65D3">
        <w:rPr>
          <w:sz w:val="23"/>
          <w:szCs w:val="23"/>
        </w:rPr>
        <w:t>. Bude proveden výzkum nav</w:t>
      </w:r>
      <w:r>
        <w:rPr>
          <w:sz w:val="23"/>
          <w:szCs w:val="23"/>
        </w:rPr>
        <w:t>azující na úspěšně řešené</w:t>
      </w:r>
      <w:r w:rsidRPr="00DF65D3">
        <w:rPr>
          <w:sz w:val="23"/>
          <w:szCs w:val="23"/>
        </w:rPr>
        <w:t xml:space="preserve"> interní grant</w:t>
      </w:r>
      <w:r>
        <w:rPr>
          <w:sz w:val="23"/>
          <w:szCs w:val="23"/>
        </w:rPr>
        <w:t>y</w:t>
      </w:r>
      <w:r w:rsidRPr="00DF65D3">
        <w:rPr>
          <w:sz w:val="23"/>
          <w:szCs w:val="23"/>
        </w:rPr>
        <w:t xml:space="preserve"> číslo 2/2013</w:t>
      </w:r>
      <w:r>
        <w:rPr>
          <w:sz w:val="23"/>
          <w:szCs w:val="23"/>
        </w:rPr>
        <w:t xml:space="preserve"> a 4/2</w:t>
      </w:r>
      <w:r w:rsidR="0074649F">
        <w:rPr>
          <w:sz w:val="23"/>
          <w:szCs w:val="23"/>
        </w:rPr>
        <w:t>0</w:t>
      </w:r>
      <w:r>
        <w:rPr>
          <w:sz w:val="23"/>
          <w:szCs w:val="23"/>
        </w:rPr>
        <w:t>14</w:t>
      </w:r>
      <w:r w:rsidRPr="00DF65D3">
        <w:rPr>
          <w:sz w:val="23"/>
          <w:szCs w:val="23"/>
        </w:rPr>
        <w:t xml:space="preserve">. Nově realizovaný výzkum má za cíl ukázat </w:t>
      </w:r>
      <w:r>
        <w:rPr>
          <w:sz w:val="23"/>
          <w:szCs w:val="23"/>
        </w:rPr>
        <w:t xml:space="preserve">efektivitu výukových metod </w:t>
      </w:r>
      <w:r w:rsidR="00137719">
        <w:rPr>
          <w:sz w:val="23"/>
          <w:szCs w:val="23"/>
        </w:rPr>
        <w:t xml:space="preserve">problematiky </w:t>
      </w:r>
      <w:r>
        <w:rPr>
          <w:sz w:val="23"/>
          <w:szCs w:val="23"/>
        </w:rPr>
        <w:t xml:space="preserve">počítačové bezpečnosti </w:t>
      </w:r>
      <w:r w:rsidR="00137719">
        <w:rPr>
          <w:sz w:val="23"/>
          <w:szCs w:val="23"/>
        </w:rPr>
        <w:t>ve smyslu vlivu na vnímání této problematiky studenty.</w:t>
      </w:r>
      <w:r>
        <w:rPr>
          <w:sz w:val="23"/>
          <w:szCs w:val="23"/>
        </w:rPr>
        <w:t xml:space="preserve"> </w:t>
      </w:r>
    </w:p>
    <w:p w:rsidR="00DF65D3" w:rsidRDefault="00DF65D3" w:rsidP="004E7C12">
      <w:pPr>
        <w:pStyle w:val="Default"/>
        <w:rPr>
          <w:sz w:val="23"/>
          <w:szCs w:val="23"/>
        </w:rPr>
      </w:pPr>
    </w:p>
    <w:p w:rsidR="00C72A83" w:rsidRDefault="00DF65D3" w:rsidP="004E7C12">
      <w:pPr>
        <w:pStyle w:val="Default"/>
        <w:rPr>
          <w:sz w:val="23"/>
          <w:szCs w:val="23"/>
        </w:rPr>
      </w:pPr>
      <w:r w:rsidRPr="00DF65D3">
        <w:rPr>
          <w:sz w:val="23"/>
          <w:szCs w:val="23"/>
        </w:rPr>
        <w:t>Výsledky tohoto výzkumu budou publikovány v</w:t>
      </w:r>
      <w:r w:rsidR="00013DE0">
        <w:rPr>
          <w:sz w:val="23"/>
          <w:szCs w:val="23"/>
        </w:rPr>
        <w:t> odborné literatuře</w:t>
      </w:r>
      <w:r w:rsidRPr="00DF65D3">
        <w:rPr>
          <w:sz w:val="23"/>
          <w:szCs w:val="23"/>
        </w:rPr>
        <w:t xml:space="preserve"> a bude zpracována metodika </w:t>
      </w:r>
      <w:r w:rsidR="00137719">
        <w:rPr>
          <w:sz w:val="23"/>
          <w:szCs w:val="23"/>
        </w:rPr>
        <w:t>použití sémantického diferenciálu na měření efektivity výukových metod</w:t>
      </w:r>
      <w:r w:rsidR="00292363">
        <w:rPr>
          <w:sz w:val="23"/>
          <w:szCs w:val="23"/>
        </w:rPr>
        <w:t>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:rsidR="00C72A83" w:rsidRDefault="00DF65D3" w:rsidP="004E7C12">
      <w:pPr>
        <w:pStyle w:val="Default"/>
        <w:rPr>
          <w:sz w:val="23"/>
          <w:szCs w:val="23"/>
        </w:rPr>
      </w:pPr>
      <w:r w:rsidRPr="00DF65D3">
        <w:rPr>
          <w:sz w:val="23"/>
          <w:szCs w:val="23"/>
        </w:rPr>
        <w:t xml:space="preserve">Výsledky tohoto výzkumu budou publikovány v zahraničním časopise a bude zpracována podrobná metodika </w:t>
      </w:r>
      <w:r w:rsidR="00137719">
        <w:rPr>
          <w:sz w:val="23"/>
          <w:szCs w:val="23"/>
        </w:rPr>
        <w:t>použití sémantického diferenciálu na měření efektivity výukových metod</w:t>
      </w:r>
      <w:r w:rsidR="00292363" w:rsidRPr="00292363">
        <w:rPr>
          <w:sz w:val="23"/>
          <w:szCs w:val="23"/>
        </w:rPr>
        <w:t xml:space="preserve"> </w:t>
      </w:r>
      <w:r w:rsidR="00292363">
        <w:rPr>
          <w:sz w:val="23"/>
          <w:szCs w:val="23"/>
        </w:rPr>
        <w:t>včetně kladů a omezení této metody.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:rsidR="00C72A83" w:rsidRDefault="00DF65D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Bude zkoumána efektivita rozdílných výukových metod z pohledu schopnosti </w:t>
      </w:r>
      <w:r w:rsidR="00137719">
        <w:rPr>
          <w:sz w:val="23"/>
          <w:szCs w:val="23"/>
        </w:rPr>
        <w:t>ovlivňovat</w:t>
      </w:r>
      <w:r w:rsidR="00482921">
        <w:rPr>
          <w:sz w:val="23"/>
          <w:szCs w:val="23"/>
        </w:rPr>
        <w:t xml:space="preserve"> </w:t>
      </w:r>
      <w:proofErr w:type="gramStart"/>
      <w:r w:rsidR="00137719">
        <w:rPr>
          <w:sz w:val="23"/>
          <w:szCs w:val="23"/>
        </w:rPr>
        <w:t xml:space="preserve">vnímání </w:t>
      </w:r>
      <w:r>
        <w:rPr>
          <w:sz w:val="23"/>
          <w:szCs w:val="23"/>
        </w:rPr>
        <w:t xml:space="preserve"> dan</w:t>
      </w:r>
      <w:r w:rsidR="00137719">
        <w:rPr>
          <w:sz w:val="23"/>
          <w:szCs w:val="23"/>
        </w:rPr>
        <w:t>é</w:t>
      </w:r>
      <w:proofErr w:type="gramEnd"/>
      <w:r>
        <w:rPr>
          <w:sz w:val="23"/>
          <w:szCs w:val="23"/>
        </w:rPr>
        <w:t xml:space="preserve"> problematik</w:t>
      </w:r>
      <w:r w:rsidR="00137719">
        <w:rPr>
          <w:sz w:val="23"/>
          <w:szCs w:val="23"/>
        </w:rPr>
        <w:t>y</w:t>
      </w:r>
      <w:r w:rsidR="00482921">
        <w:rPr>
          <w:sz w:val="23"/>
          <w:szCs w:val="23"/>
        </w:rPr>
        <w:t xml:space="preserve"> studenty</w:t>
      </w:r>
      <w:r w:rsidR="0013771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137719">
        <w:rPr>
          <w:sz w:val="23"/>
          <w:szCs w:val="23"/>
        </w:rPr>
        <w:t>d</w:t>
      </w:r>
      <w:r>
        <w:rPr>
          <w:sz w:val="23"/>
          <w:szCs w:val="23"/>
        </w:rPr>
        <w:t xml:space="preserve">íky čemuž výsledky výzkumu </w:t>
      </w:r>
      <w:r w:rsidR="0074649F">
        <w:rPr>
          <w:sz w:val="23"/>
          <w:szCs w:val="23"/>
        </w:rPr>
        <w:t>přispějí k výuce informatiky</w:t>
      </w:r>
      <w:r w:rsidR="00137719">
        <w:rPr>
          <w:sz w:val="23"/>
          <w:szCs w:val="23"/>
        </w:rPr>
        <w:t>.</w:t>
      </w:r>
      <w:r w:rsidR="0074649F">
        <w:rPr>
          <w:sz w:val="23"/>
          <w:szCs w:val="23"/>
        </w:rPr>
        <w:t xml:space="preserve"> </w:t>
      </w:r>
      <w:r w:rsidR="00137719">
        <w:rPr>
          <w:sz w:val="23"/>
          <w:szCs w:val="23"/>
        </w:rPr>
        <w:t xml:space="preserve">Zároveň bude </w:t>
      </w:r>
      <w:r w:rsidR="0001633C">
        <w:rPr>
          <w:sz w:val="23"/>
          <w:szCs w:val="23"/>
        </w:rPr>
        <w:t xml:space="preserve">v prostředí naší školy otestováno použití metody </w:t>
      </w:r>
      <w:r w:rsidR="00137719">
        <w:rPr>
          <w:sz w:val="23"/>
          <w:szCs w:val="23"/>
        </w:rPr>
        <w:t xml:space="preserve">sémantického diferenciálu, </w:t>
      </w:r>
      <w:r w:rsidR="0001633C">
        <w:rPr>
          <w:sz w:val="23"/>
          <w:szCs w:val="23"/>
        </w:rPr>
        <w:t>pomocí kterého je možné (na rozdíl od didaktických testů) možno měřit efektivitu různých výukových metod či výukových přístupů ve smyslu změny vnímání určité problematiky</w:t>
      </w:r>
      <w:r w:rsidR="00482921">
        <w:rPr>
          <w:sz w:val="23"/>
          <w:szCs w:val="23"/>
        </w:rPr>
        <w:t xml:space="preserve"> studenty</w:t>
      </w:r>
      <w:r w:rsidR="0001633C">
        <w:rPr>
          <w:sz w:val="23"/>
          <w:szCs w:val="23"/>
        </w:rPr>
        <w:t>.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:rsidR="00C72A83" w:rsidRDefault="0074649F" w:rsidP="004E7C12">
      <w:pPr>
        <w:pStyle w:val="Default"/>
        <w:rPr>
          <w:sz w:val="23"/>
          <w:szCs w:val="23"/>
        </w:rPr>
      </w:pPr>
      <w:r w:rsidRPr="0074649F">
        <w:rPr>
          <w:sz w:val="23"/>
          <w:szCs w:val="23"/>
        </w:rPr>
        <w:t>Cílovou skupinou projektu jsou studenti předmětů Informatika I a Informatika II na VŠTE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 w:rsidR="005A1908">
        <w:rPr>
          <w:sz w:val="23"/>
          <w:szCs w:val="23"/>
        </w:rPr>
        <w:t>:</w:t>
      </w:r>
    </w:p>
    <w:p w:rsidR="00C72A83" w:rsidRDefault="0074649F" w:rsidP="004E7C12">
      <w:pPr>
        <w:pStyle w:val="Default"/>
        <w:rPr>
          <w:sz w:val="23"/>
          <w:szCs w:val="23"/>
        </w:rPr>
      </w:pPr>
      <w:r w:rsidRPr="0074649F">
        <w:rPr>
          <w:sz w:val="23"/>
          <w:szCs w:val="23"/>
        </w:rPr>
        <w:t xml:space="preserve">Za podpory interního grantu 2/2013 </w:t>
      </w:r>
      <w:r>
        <w:rPr>
          <w:sz w:val="23"/>
          <w:szCs w:val="23"/>
        </w:rPr>
        <w:t xml:space="preserve">a 4/2014 </w:t>
      </w:r>
      <w:r w:rsidRPr="0074649F">
        <w:rPr>
          <w:sz w:val="23"/>
          <w:szCs w:val="23"/>
        </w:rPr>
        <w:t>byl</w:t>
      </w:r>
      <w:r>
        <w:rPr>
          <w:sz w:val="23"/>
          <w:szCs w:val="23"/>
        </w:rPr>
        <w:t>y</w:t>
      </w:r>
      <w:r w:rsidRPr="0074649F">
        <w:rPr>
          <w:sz w:val="23"/>
          <w:szCs w:val="23"/>
        </w:rPr>
        <w:t xml:space="preserve"> realizován</w:t>
      </w:r>
      <w:r>
        <w:rPr>
          <w:sz w:val="23"/>
          <w:szCs w:val="23"/>
        </w:rPr>
        <w:t>y</w:t>
      </w:r>
      <w:r w:rsidRPr="0074649F">
        <w:rPr>
          <w:sz w:val="23"/>
          <w:szCs w:val="23"/>
        </w:rPr>
        <w:t xml:space="preserve"> výzkum</w:t>
      </w:r>
      <w:r>
        <w:rPr>
          <w:sz w:val="23"/>
          <w:szCs w:val="23"/>
        </w:rPr>
        <w:t>y zaměřené na efektivitu výuky ve smyslu zvýšení znalostí. S</w:t>
      </w:r>
      <w:r w:rsidRPr="0074649F">
        <w:rPr>
          <w:sz w:val="23"/>
          <w:szCs w:val="23"/>
        </w:rPr>
        <w:t xml:space="preserve">tudenti </w:t>
      </w:r>
      <w:r>
        <w:rPr>
          <w:sz w:val="23"/>
          <w:szCs w:val="23"/>
        </w:rPr>
        <w:t xml:space="preserve">v rámci výzkumů </w:t>
      </w:r>
      <w:r w:rsidRPr="0074649F">
        <w:rPr>
          <w:sz w:val="23"/>
          <w:szCs w:val="23"/>
        </w:rPr>
        <w:t xml:space="preserve">prošli výukou vybraných ICT témat pomocí jedné z následujících výukových metod: metoda frontální, rozhovor se závěry, řízená diskuze, skupinová metoda; případně se stali součástí kontrolní skupiny, ve které výuka daných témat neproběhla. </w:t>
      </w:r>
      <w:r>
        <w:rPr>
          <w:sz w:val="23"/>
          <w:szCs w:val="23"/>
        </w:rPr>
        <w:t xml:space="preserve">Po půl roce byli studenti znovu testováni z důvodu zjištění dlouhodobé efektivity výukových metod. </w:t>
      </w:r>
      <w:r w:rsidRPr="0074649F">
        <w:rPr>
          <w:sz w:val="23"/>
          <w:szCs w:val="23"/>
        </w:rPr>
        <w:t>Jako nejefektivnější výukové metody daných témat byla v rámci uvedeného výzkumu identifikována metoda klasické frontální výuky a metoda diskuze se závěry.</w:t>
      </w:r>
      <w:r w:rsidR="007D0D83">
        <w:rPr>
          <w:sz w:val="23"/>
          <w:szCs w:val="23"/>
        </w:rPr>
        <w:t xml:space="preserve"> V rámci těchto výzkumů však byl diskutován vliv výukových metod pouze na znalosti studentů, avšak nebyl odhalen vliv na vnímání problematiky studenty a jejich postoj k této problematice. Právě </w:t>
      </w:r>
      <w:r w:rsidR="00173864">
        <w:rPr>
          <w:sz w:val="23"/>
          <w:szCs w:val="23"/>
        </w:rPr>
        <w:t>tento nedostatek</w:t>
      </w:r>
      <w:r w:rsidR="007D0D83">
        <w:rPr>
          <w:sz w:val="23"/>
          <w:szCs w:val="23"/>
        </w:rPr>
        <w:t xml:space="preserve"> bychom chtěli změnit za pomoci aktuálně podávaného grantu.</w:t>
      </w:r>
    </w:p>
    <w:p w:rsidR="00C72A83" w:rsidRP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Default="00C72A83" w:rsidP="004E7C12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 w:rsidR="005A1908">
        <w:rPr>
          <w:sz w:val="23"/>
          <w:szCs w:val="23"/>
        </w:rPr>
        <w:t>:</w:t>
      </w:r>
    </w:p>
    <w:p w:rsidR="004E7C12" w:rsidRDefault="0074649F" w:rsidP="004E7C12">
      <w:pPr>
        <w:pStyle w:val="Default"/>
        <w:rPr>
          <w:sz w:val="23"/>
          <w:szCs w:val="23"/>
        </w:rPr>
      </w:pPr>
      <w:r w:rsidRPr="0074649F">
        <w:rPr>
          <w:sz w:val="23"/>
          <w:szCs w:val="23"/>
        </w:rPr>
        <w:t xml:space="preserve">Cílem řešení je odhalit působení zvolených výukových metod na </w:t>
      </w:r>
      <w:r w:rsidR="0001633C">
        <w:rPr>
          <w:sz w:val="23"/>
          <w:szCs w:val="23"/>
        </w:rPr>
        <w:t>vnímání vybraných kapitol z předmětu informatiky</w:t>
      </w:r>
      <w:r w:rsidR="0001633C" w:rsidRPr="0074649F">
        <w:rPr>
          <w:sz w:val="23"/>
          <w:szCs w:val="23"/>
        </w:rPr>
        <w:t xml:space="preserve"> </w:t>
      </w:r>
      <w:r w:rsidRPr="0074649F">
        <w:rPr>
          <w:sz w:val="23"/>
          <w:szCs w:val="23"/>
        </w:rPr>
        <w:t>student</w:t>
      </w:r>
      <w:r w:rsidR="0001633C">
        <w:rPr>
          <w:sz w:val="23"/>
          <w:szCs w:val="23"/>
        </w:rPr>
        <w:t xml:space="preserve">y </w:t>
      </w:r>
      <w:r w:rsidRPr="0074649F">
        <w:rPr>
          <w:sz w:val="23"/>
          <w:szCs w:val="23"/>
        </w:rPr>
        <w:t xml:space="preserve">a jejich zhodnocení ve světle dalších potenciálních vlivů, které na jejich </w:t>
      </w:r>
      <w:r w:rsidR="0001633C">
        <w:rPr>
          <w:sz w:val="23"/>
          <w:szCs w:val="23"/>
        </w:rPr>
        <w:t>vnímání</w:t>
      </w:r>
      <w:r w:rsidR="00482921">
        <w:rPr>
          <w:sz w:val="23"/>
          <w:szCs w:val="23"/>
        </w:rPr>
        <w:t xml:space="preserve"> </w:t>
      </w:r>
      <w:r w:rsidR="0001633C">
        <w:rPr>
          <w:sz w:val="23"/>
          <w:szCs w:val="23"/>
        </w:rPr>
        <w:t>této problematiky</w:t>
      </w:r>
      <w:r w:rsidRPr="0074649F">
        <w:rPr>
          <w:sz w:val="23"/>
          <w:szCs w:val="23"/>
        </w:rPr>
        <w:t xml:space="preserve"> působí. Sekundárním cílem řešení je </w:t>
      </w:r>
      <w:r w:rsidR="0001633C">
        <w:rPr>
          <w:sz w:val="23"/>
          <w:szCs w:val="23"/>
        </w:rPr>
        <w:t xml:space="preserve">pilotní nasazení metody sémantického diferenciálu pro hodnocení efektivity výukových metod </w:t>
      </w:r>
      <w:r w:rsidRPr="0074649F">
        <w:rPr>
          <w:sz w:val="23"/>
          <w:szCs w:val="23"/>
        </w:rPr>
        <w:t>na VŠTE</w:t>
      </w:r>
      <w:r w:rsidR="007D0D83">
        <w:rPr>
          <w:sz w:val="23"/>
          <w:szCs w:val="23"/>
        </w:rPr>
        <w:t xml:space="preserve"> a zpřístupnění této metody dalším vyučujícím</w:t>
      </w:r>
      <w:r w:rsidRPr="0074649F">
        <w:rPr>
          <w:sz w:val="23"/>
          <w:szCs w:val="23"/>
        </w:rPr>
        <w:t>, čehož bude dosaženo vydáním výše uvedené metodiky.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Default="00B1034B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</w:t>
      </w:r>
      <w:r w:rsidR="004E7C12">
        <w:rPr>
          <w:sz w:val="23"/>
          <w:szCs w:val="23"/>
        </w:rPr>
        <w:t>. Harmonogram prací v roce 20</w:t>
      </w:r>
      <w:r w:rsidR="00C72A83">
        <w:rPr>
          <w:sz w:val="23"/>
          <w:szCs w:val="23"/>
        </w:rPr>
        <w:t>15</w:t>
      </w:r>
      <w:r w:rsidR="004E7C12">
        <w:rPr>
          <w:sz w:val="23"/>
          <w:szCs w:val="23"/>
        </w:rPr>
        <w:t xml:space="preserve">: </w:t>
      </w:r>
    </w:p>
    <w:p w:rsidR="004E7C12" w:rsidRDefault="00E0212C" w:rsidP="00013DE0">
      <w:pPr>
        <w:pStyle w:val="Default"/>
        <w:ind w:left="1560" w:hanging="1560"/>
        <w:rPr>
          <w:sz w:val="23"/>
          <w:szCs w:val="23"/>
        </w:rPr>
      </w:pPr>
      <w:r>
        <w:rPr>
          <w:sz w:val="23"/>
          <w:szCs w:val="23"/>
        </w:rPr>
        <w:t xml:space="preserve">Květen – září </w:t>
      </w:r>
      <w:r>
        <w:rPr>
          <w:sz w:val="23"/>
          <w:szCs w:val="23"/>
        </w:rPr>
        <w:tab/>
        <w:t xml:space="preserve">Technická příprava (programování </w:t>
      </w:r>
      <w:r w:rsidR="00013DE0">
        <w:rPr>
          <w:sz w:val="23"/>
          <w:szCs w:val="23"/>
        </w:rPr>
        <w:t xml:space="preserve">testovacích aplikací, tvorba sémantického diferenciálu) </w:t>
      </w:r>
      <w:r>
        <w:rPr>
          <w:sz w:val="23"/>
          <w:szCs w:val="23"/>
        </w:rPr>
        <w:t>za účasti specialistů z PF JČU</w:t>
      </w:r>
      <w:r w:rsidR="00244311">
        <w:rPr>
          <w:sz w:val="23"/>
          <w:szCs w:val="23"/>
        </w:rPr>
        <w:t xml:space="preserve"> a AV ČR</w:t>
      </w:r>
    </w:p>
    <w:p w:rsidR="00013DE0" w:rsidRDefault="00013DE0" w:rsidP="00013DE0">
      <w:pPr>
        <w:pStyle w:val="Default"/>
        <w:ind w:left="1560" w:hanging="1560"/>
        <w:rPr>
          <w:sz w:val="23"/>
          <w:szCs w:val="23"/>
        </w:rPr>
      </w:pPr>
      <w:r>
        <w:rPr>
          <w:sz w:val="23"/>
          <w:szCs w:val="23"/>
        </w:rPr>
        <w:t>Říjen</w:t>
      </w:r>
      <w:r>
        <w:rPr>
          <w:sz w:val="23"/>
          <w:szCs w:val="23"/>
        </w:rPr>
        <w:tab/>
        <w:t>Výuka pomocí rozdílných výukových metod a její testování</w:t>
      </w:r>
    </w:p>
    <w:p w:rsidR="00013DE0" w:rsidRDefault="00013DE0" w:rsidP="00013DE0">
      <w:pPr>
        <w:pStyle w:val="Default"/>
        <w:ind w:left="1560" w:hanging="1560"/>
        <w:rPr>
          <w:sz w:val="23"/>
          <w:szCs w:val="23"/>
        </w:rPr>
      </w:pPr>
      <w:r>
        <w:rPr>
          <w:sz w:val="23"/>
          <w:szCs w:val="23"/>
        </w:rPr>
        <w:t>Listopad</w:t>
      </w:r>
      <w:r>
        <w:rPr>
          <w:sz w:val="23"/>
          <w:szCs w:val="23"/>
        </w:rPr>
        <w:tab/>
        <w:t>Zpracování výsledků</w:t>
      </w:r>
    </w:p>
    <w:p w:rsidR="00C72A83" w:rsidRDefault="00C72A83" w:rsidP="00013DE0">
      <w:pPr>
        <w:pStyle w:val="Default"/>
        <w:spacing w:after="120"/>
        <w:ind w:left="1843" w:hanging="1843"/>
        <w:rPr>
          <w:sz w:val="23"/>
          <w:szCs w:val="23"/>
        </w:rPr>
      </w:pPr>
    </w:p>
    <w:tbl>
      <w:tblPr>
        <w:tblStyle w:val="Mkatabulky"/>
        <w:tblpPr w:leftFromText="141" w:rightFromText="141" w:vertAnchor="text" w:horzAnchor="margin" w:tblpY="3199"/>
        <w:tblW w:w="0" w:type="auto"/>
        <w:tblLook w:val="04A0" w:firstRow="1" w:lastRow="0" w:firstColumn="1" w:lastColumn="0" w:noHBand="0" w:noVBand="1"/>
      </w:tblPr>
      <w:tblGrid>
        <w:gridCol w:w="3026"/>
        <w:gridCol w:w="3021"/>
        <w:gridCol w:w="3015"/>
      </w:tblGrid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Specifikace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Kategorie</w:t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Částka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Statistické zpracování sémantických diferenciálů odborníky z AV ČR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Literatura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15" w:type="dxa"/>
          </w:tcPr>
          <w:p w:rsidR="002052B7" w:rsidRDefault="0071592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052B7">
              <w:rPr>
                <w:sz w:val="23"/>
                <w:szCs w:val="23"/>
              </w:rPr>
              <w:t>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Náklady na konferenci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8 000Kč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</w:p>
        </w:tc>
        <w:tc>
          <w:tcPr>
            <w:tcW w:w="3015" w:type="dxa"/>
          </w:tcPr>
          <w:p w:rsidR="002052B7" w:rsidRDefault="0071592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2052B7">
              <w:rPr>
                <w:sz w:val="23"/>
                <w:szCs w:val="23"/>
              </w:rPr>
              <w:t> 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Příprava tiskových archů sémantického diferenciálu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Předzpracování archů sémantického diferenciálu pro statistické zpracování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Překlad článku do anglického jazyka</w:t>
            </w: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 Kč</w:t>
            </w:r>
          </w:p>
        </w:tc>
      </w:tr>
      <w:tr w:rsidR="002052B7" w:rsidTr="002052B7">
        <w:tc>
          <w:tcPr>
            <w:tcW w:w="3026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21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15" w:type="dxa"/>
          </w:tcPr>
          <w:p w:rsidR="002052B7" w:rsidRDefault="002052B7" w:rsidP="002052B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E7C12" w:rsidRDefault="002052B7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1034B">
        <w:rPr>
          <w:sz w:val="23"/>
          <w:szCs w:val="23"/>
        </w:rPr>
        <w:t>11</w:t>
      </w:r>
      <w:r w:rsidR="004E7C12">
        <w:rPr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both"/>
            </w:pPr>
            <w:r>
              <w:t>Dlouhodobý nehmotný majetek</w:t>
            </w:r>
            <w:r>
              <w:tab/>
            </w:r>
          </w:p>
        </w:tc>
        <w:tc>
          <w:tcPr>
            <w:tcW w:w="3071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:rsidR="00C72A83" w:rsidRDefault="0071592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D327B">
              <w:rPr>
                <w:sz w:val="23"/>
                <w:szCs w:val="23"/>
              </w:rPr>
              <w:t xml:space="preserve"> 000Kč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:rsidR="00C72A83" w:rsidRDefault="000D327B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19 000Kč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C72A83" w:rsidP="004E7C12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:rsidR="00C72A83" w:rsidRDefault="0071592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0D327B">
              <w:rPr>
                <w:sz w:val="23"/>
                <w:szCs w:val="23"/>
              </w:rPr>
              <w:t> 000Kč</w:t>
            </w:r>
          </w:p>
        </w:tc>
      </w:tr>
      <w:tr w:rsidR="00715927" w:rsidTr="00C72A83">
        <w:trPr>
          <w:jc w:val="center"/>
        </w:trPr>
        <w:tc>
          <w:tcPr>
            <w:tcW w:w="3070" w:type="dxa"/>
          </w:tcPr>
          <w:p w:rsidR="00715927" w:rsidRDefault="00715927" w:rsidP="004E7C12">
            <w:pPr>
              <w:pStyle w:val="Default"/>
            </w:pPr>
            <w:r>
              <w:t>Celkem</w:t>
            </w:r>
          </w:p>
        </w:tc>
        <w:tc>
          <w:tcPr>
            <w:tcW w:w="3071" w:type="dxa"/>
          </w:tcPr>
          <w:p w:rsidR="00715927" w:rsidRDefault="00715927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36 000Kč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  <w:bookmarkStart w:id="0" w:name="_GoBack"/>
      <w:bookmarkEnd w:id="0"/>
    </w:p>
    <w:p w:rsidR="002052B7" w:rsidRDefault="002052B7" w:rsidP="00B1034B">
      <w:pPr>
        <w:pStyle w:val="Default"/>
        <w:jc w:val="both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33" w:rsidRDefault="008C4233" w:rsidP="009B2F4E">
      <w:r>
        <w:separator/>
      </w:r>
    </w:p>
  </w:endnote>
  <w:endnote w:type="continuationSeparator" w:id="0">
    <w:p w:rsidR="008C4233" w:rsidRDefault="008C4233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FE0E1A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EEBA72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715927" w:rsidRPr="00715927">
      <w:rPr>
        <w:rFonts w:asciiTheme="majorHAnsi" w:eastAsiaTheme="majorEastAsia" w:hAnsiTheme="majorHAnsi" w:cstheme="majorBidi"/>
        <w:noProof/>
      </w:rPr>
      <w:t>2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33" w:rsidRDefault="008C4233" w:rsidP="009B2F4E">
      <w:r>
        <w:separator/>
      </w:r>
    </w:p>
  </w:footnote>
  <w:footnote w:type="continuationSeparator" w:id="0">
    <w:p w:rsidR="008C4233" w:rsidRDefault="008C4233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Šimandl">
    <w15:presenceInfo w15:providerId="None" w15:userId="Václav Šiman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13DE0"/>
    <w:rsid w:val="0001633C"/>
    <w:rsid w:val="00027C4C"/>
    <w:rsid w:val="000665C6"/>
    <w:rsid w:val="000D327B"/>
    <w:rsid w:val="00137719"/>
    <w:rsid w:val="00142F38"/>
    <w:rsid w:val="00173864"/>
    <w:rsid w:val="002052B7"/>
    <w:rsid w:val="00244311"/>
    <w:rsid w:val="00247558"/>
    <w:rsid w:val="00292363"/>
    <w:rsid w:val="002E4280"/>
    <w:rsid w:val="00413AC6"/>
    <w:rsid w:val="004229FB"/>
    <w:rsid w:val="004705D7"/>
    <w:rsid w:val="00482921"/>
    <w:rsid w:val="004959DE"/>
    <w:rsid w:val="004E7C12"/>
    <w:rsid w:val="005A1908"/>
    <w:rsid w:val="005A7082"/>
    <w:rsid w:val="00627611"/>
    <w:rsid w:val="00715927"/>
    <w:rsid w:val="0074649F"/>
    <w:rsid w:val="007D0D83"/>
    <w:rsid w:val="0085418F"/>
    <w:rsid w:val="008C4233"/>
    <w:rsid w:val="00903D25"/>
    <w:rsid w:val="009B2F4E"/>
    <w:rsid w:val="00AF026E"/>
    <w:rsid w:val="00AF4FEA"/>
    <w:rsid w:val="00B1034B"/>
    <w:rsid w:val="00C46B6E"/>
    <w:rsid w:val="00C56F51"/>
    <w:rsid w:val="00C71C2D"/>
    <w:rsid w:val="00C72A83"/>
    <w:rsid w:val="00DF65D3"/>
    <w:rsid w:val="00E0212C"/>
    <w:rsid w:val="00EB6FF6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FD440BF9-5204-43BC-B8A8-A2E9A084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Vaclav Dobias</cp:lastModifiedBy>
  <cp:revision>6</cp:revision>
  <dcterms:created xsi:type="dcterms:W3CDTF">2015-03-09T06:59:00Z</dcterms:created>
  <dcterms:modified xsi:type="dcterms:W3CDTF">2015-03-10T06:34:00Z</dcterms:modified>
</cp:coreProperties>
</file>